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B3D3A">
      <w:pPr>
        <w:spacing w:after="60"/>
        <w:rPr>
          <w:rFonts w:hint="eastAsia" w:ascii="宋体" w:hAnsi="宋体" w:eastAsia="宋体" w:cs="宋体"/>
          <w:color w:val="auto"/>
        </w:rPr>
      </w:pPr>
    </w:p>
    <w:p w14:paraId="0BF73CE9">
      <w:pPr>
        <w:spacing w:after="60"/>
        <w:rPr>
          <w:rFonts w:hint="eastAsia" w:ascii="宋体" w:hAnsi="宋体" w:eastAsia="宋体" w:cs="宋体"/>
          <w:color w:val="auto"/>
        </w:rPr>
      </w:pPr>
    </w:p>
    <w:p w14:paraId="05B453BC">
      <w:pPr>
        <w:spacing w:after="60"/>
        <w:rPr>
          <w:rFonts w:hint="eastAsia" w:ascii="宋体" w:hAnsi="宋体" w:eastAsia="宋体" w:cs="宋体"/>
          <w:color w:val="auto"/>
        </w:rPr>
      </w:pPr>
    </w:p>
    <w:p w14:paraId="0C216A17">
      <w:pPr>
        <w:spacing w:after="60"/>
        <w:rPr>
          <w:rFonts w:hint="eastAsia" w:ascii="宋体" w:hAnsi="宋体" w:eastAsia="宋体" w:cs="宋体"/>
          <w:color w:val="auto"/>
        </w:rPr>
      </w:pPr>
    </w:p>
    <w:p w14:paraId="3201C393">
      <w:pPr>
        <w:spacing w:after="60"/>
        <w:rPr>
          <w:rFonts w:hint="eastAsia" w:ascii="宋体" w:hAnsi="宋体" w:eastAsia="宋体" w:cs="宋体"/>
          <w:color w:val="auto"/>
        </w:rPr>
      </w:pPr>
    </w:p>
    <w:p w14:paraId="0D060FBC">
      <w:pPr>
        <w:spacing w:after="60"/>
        <w:rPr>
          <w:rFonts w:hint="eastAsia" w:ascii="宋体" w:hAnsi="宋体" w:eastAsia="宋体" w:cs="宋体"/>
          <w:color w:val="auto"/>
        </w:rPr>
      </w:pPr>
    </w:p>
    <w:p w14:paraId="2AE68884">
      <w:pPr>
        <w:spacing w:after="60"/>
        <w:rPr>
          <w:rFonts w:hint="eastAsia" w:ascii="宋体" w:hAnsi="宋体" w:eastAsia="宋体" w:cs="宋体"/>
          <w:color w:val="auto"/>
        </w:rPr>
      </w:pPr>
    </w:p>
    <w:p w14:paraId="266A4A22">
      <w:pPr>
        <w:spacing w:after="60"/>
        <w:rPr>
          <w:rFonts w:hint="eastAsia" w:ascii="宋体" w:hAnsi="宋体" w:eastAsia="宋体" w:cs="宋体"/>
          <w:color w:val="auto"/>
        </w:rPr>
      </w:pPr>
    </w:p>
    <w:p w14:paraId="6E0168BD">
      <w:pPr>
        <w:spacing w:after="60"/>
        <w:rPr>
          <w:rFonts w:hint="eastAsia" w:ascii="宋体" w:hAnsi="宋体" w:eastAsia="宋体" w:cs="宋体"/>
          <w:color w:val="auto"/>
        </w:rPr>
      </w:pPr>
    </w:p>
    <w:p w14:paraId="6413D036">
      <w:pPr>
        <w:spacing w:after="200"/>
        <w:jc w:val="center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52"/>
          <w:szCs w:val="52"/>
        </w:rPr>
        <w:t>沥 青 温 拌 改 性</w:t>
      </w:r>
    </w:p>
    <w:p w14:paraId="74801DD9">
      <w:pPr>
        <w:spacing w:after="200"/>
        <w:jc w:val="center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52"/>
          <w:szCs w:val="52"/>
        </w:rPr>
        <w:t>四 合 一 再 生 剂</w:t>
      </w:r>
    </w:p>
    <w:p w14:paraId="6E9C7174">
      <w:pPr>
        <w:spacing w:after="300"/>
        <w:jc w:val="center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</w:rPr>
        <w:t>添加使用说明书</w:t>
      </w:r>
    </w:p>
    <w:p w14:paraId="6DB19FC8">
      <w:pPr>
        <w:spacing w:after="60"/>
        <w:rPr>
          <w:rFonts w:hint="eastAsia" w:ascii="宋体" w:hAnsi="宋体" w:eastAsia="宋体" w:cs="宋体"/>
          <w:color w:val="auto"/>
        </w:rPr>
      </w:pPr>
    </w:p>
    <w:p w14:paraId="7611D8CE">
      <w:pPr>
        <w:spacing w:after="100"/>
        <w:jc w:val="center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26"/>
          <w:szCs w:val="26"/>
        </w:rPr>
        <w:t>一剂四效  ·  再生 + 温拌 + 改性 + 净味</w:t>
      </w:r>
    </w:p>
    <w:p w14:paraId="3FF6BB16">
      <w:pPr>
        <w:spacing w:after="60"/>
        <w:rPr>
          <w:rFonts w:hint="eastAsia" w:ascii="宋体" w:hAnsi="宋体" w:eastAsia="宋体" w:cs="宋体"/>
          <w:color w:val="auto"/>
        </w:rPr>
      </w:pPr>
    </w:p>
    <w:p w14:paraId="5156F263">
      <w:pPr>
        <w:spacing w:after="80"/>
        <w:jc w:val="center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t>依据：JTG/T 5521-2019《公路沥青路面再生技术规范》</w:t>
      </w:r>
    </w:p>
    <w:p w14:paraId="461BD273">
      <w:pPr>
        <w:spacing w:after="80"/>
        <w:jc w:val="center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t>参考：DB34/T 5438-2026《厂拌温拌再生沥青混合料路面技术规范》</w:t>
      </w:r>
    </w:p>
    <w:p w14:paraId="6916A90B">
      <w:pPr>
        <w:spacing w:after="80"/>
        <w:jc w:val="center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t>适用范围：高比例 RAP 厂拌热再生 / 就地热（温）再生 / 超薄罩面</w:t>
      </w:r>
    </w:p>
    <w:p w14:paraId="697441E8">
      <w:pPr>
        <w:spacing w:after="60"/>
        <w:rPr>
          <w:rFonts w:hint="eastAsia" w:ascii="宋体" w:hAnsi="宋体" w:eastAsia="宋体" w:cs="宋体"/>
          <w:color w:val="auto"/>
        </w:rPr>
      </w:pPr>
    </w:p>
    <w:p w14:paraId="4F29BE6F">
      <w:pPr>
        <w:spacing w:after="60"/>
        <w:rPr>
          <w:rFonts w:hint="eastAsia" w:ascii="宋体" w:hAnsi="宋体" w:eastAsia="宋体" w:cs="宋体"/>
          <w:color w:val="auto"/>
        </w:rPr>
      </w:pPr>
    </w:p>
    <w:p w14:paraId="26EC2DE5">
      <w:pPr>
        <w:spacing w:after="60"/>
        <w:rPr>
          <w:rFonts w:hint="eastAsia" w:ascii="宋体" w:hAnsi="宋体" w:eastAsia="宋体" w:cs="宋体"/>
          <w:color w:val="auto"/>
        </w:rPr>
      </w:pPr>
    </w:p>
    <w:p w14:paraId="230BB907">
      <w:pPr>
        <w:spacing w:after="60"/>
        <w:rPr>
          <w:rFonts w:hint="eastAsia" w:ascii="宋体" w:hAnsi="宋体" w:eastAsia="宋体" w:cs="宋体"/>
          <w:color w:val="auto"/>
        </w:rPr>
      </w:pPr>
    </w:p>
    <w:p w14:paraId="0867A9E5">
      <w:pPr>
        <w:spacing w:after="60"/>
        <w:rPr>
          <w:rFonts w:hint="eastAsia" w:ascii="宋体" w:hAnsi="宋体" w:eastAsia="宋体" w:cs="宋体"/>
          <w:color w:val="auto"/>
        </w:rPr>
      </w:pPr>
    </w:p>
    <w:p w14:paraId="0AA1A0F5">
      <w:pPr>
        <w:spacing w:after="60"/>
        <w:rPr>
          <w:rFonts w:hint="eastAsia" w:ascii="宋体" w:hAnsi="宋体" w:eastAsia="宋体" w:cs="宋体"/>
          <w:color w:val="auto"/>
        </w:rPr>
      </w:pPr>
    </w:p>
    <w:p w14:paraId="1DF6E054">
      <w:pPr>
        <w:spacing w:after="60"/>
        <w:rPr>
          <w:rFonts w:hint="eastAsia" w:ascii="宋体" w:hAnsi="宋体" w:eastAsia="宋体" w:cs="宋体"/>
          <w:color w:val="auto"/>
        </w:rPr>
      </w:pPr>
    </w:p>
    <w:p w14:paraId="0023CFEB">
      <w:pPr>
        <w:spacing w:after="60"/>
        <w:rPr>
          <w:rFonts w:hint="eastAsia" w:ascii="宋体" w:hAnsi="宋体" w:eastAsia="宋体" w:cs="宋体"/>
          <w:color w:val="auto"/>
        </w:rPr>
      </w:pPr>
    </w:p>
    <w:p w14:paraId="76D96330">
      <w:pPr>
        <w:spacing w:after="60"/>
        <w:rPr>
          <w:rFonts w:hint="eastAsia" w:ascii="宋体" w:hAnsi="宋体" w:eastAsia="宋体" w:cs="宋体"/>
          <w:color w:val="auto"/>
        </w:rPr>
      </w:pPr>
    </w:p>
    <w:p w14:paraId="18858DD9">
      <w:pPr>
        <w:spacing w:after="60"/>
        <w:jc w:val="center"/>
        <w:rPr>
          <w:rFonts w:hint="default" w:ascii="宋体" w:hAnsi="宋体" w:eastAsia="宋体" w:cs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t>编制单位：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常州信拓路面改性材料有限公司</w:t>
      </w:r>
    </w:p>
    <w:p w14:paraId="28FE4E19">
      <w:pPr>
        <w:spacing w:after="60"/>
        <w:jc w:val="center"/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t>编制日期：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2026.7.28</w:t>
      </w:r>
    </w:p>
    <w:p w14:paraId="05F664A3">
      <w:pPr>
        <w:rPr>
          <w:rFonts w:hint="eastAsia" w:ascii="宋体" w:hAnsi="宋体" w:eastAsia="宋体" w:cs="宋体"/>
          <w:color w:val="auto"/>
        </w:rPr>
        <w:sectPr>
          <w:headerReference r:id="rId3" w:type="default"/>
          <w:pgSz w:w="11906" w:h="16838"/>
          <w:pgMar w:top="1440" w:right="1440" w:bottom="1440" w:left="1440" w:header="708" w:footer="708" w:gutter="0"/>
          <w:cols w:space="720" w:num="1"/>
          <w:docGrid w:linePitch="360" w:charSpace="0"/>
        </w:sectPr>
      </w:pPr>
    </w:p>
    <w:p w14:paraId="17DBCD2F">
      <w:pPr>
        <w:spacing w:after="300"/>
        <w:jc w:val="center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目    录</w:t>
      </w:r>
    </w:p>
    <w:p w14:paraId="1BD4C60F">
      <w:pPr>
        <w:tabs>
          <w:tab w:val="right" w:leader="dot" w:pos="8500"/>
        </w:tabs>
        <w:spacing w:after="160" w:line="400" w:lineRule="auto"/>
        <w:rPr>
          <w:rFonts w:hint="eastAsia" w:ascii="宋体" w:hAnsi="宋体" w:eastAsia="宋体" w:cs="宋体"/>
          <w:color w:val="auto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t>一、产品概述</w:t>
      </w:r>
      <w:r>
        <w:rPr>
          <w:rFonts w:hint="eastAsia" w:ascii="宋体" w:hAnsi="宋体" w:eastAsia="宋体" w:cs="宋体"/>
          <w:color w:val="auto"/>
          <w:sz w:val="22"/>
          <w:szCs w:val="22"/>
        </w:rPr>
        <w:tab/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1</w:t>
      </w:r>
    </w:p>
    <w:p w14:paraId="749B4BDB">
      <w:pPr>
        <w:tabs>
          <w:tab w:val="right" w:leader="dot" w:pos="8500"/>
        </w:tabs>
        <w:spacing w:after="160" w:line="400" w:lineRule="auto"/>
        <w:rPr>
          <w:rFonts w:hint="eastAsia" w:ascii="宋体" w:hAnsi="宋体" w:eastAsia="宋体" w:cs="宋体"/>
          <w:color w:val="auto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t>二、适用范围</w:t>
      </w:r>
      <w:r>
        <w:rPr>
          <w:rFonts w:hint="eastAsia" w:ascii="宋体" w:hAnsi="宋体" w:eastAsia="宋体" w:cs="宋体"/>
          <w:color w:val="auto"/>
          <w:sz w:val="22"/>
          <w:szCs w:val="22"/>
        </w:rPr>
        <w:tab/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2</w:t>
      </w:r>
    </w:p>
    <w:p w14:paraId="0685734A">
      <w:pPr>
        <w:tabs>
          <w:tab w:val="right" w:leader="dot" w:pos="8500"/>
        </w:tabs>
        <w:spacing w:after="160" w:line="400" w:lineRule="auto"/>
        <w:rPr>
          <w:rFonts w:hint="eastAsia" w:ascii="宋体" w:hAnsi="宋体" w:eastAsia="宋体" w:cs="宋体"/>
          <w:color w:val="auto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t>三、技术参数与性能指标</w:t>
      </w:r>
      <w:r>
        <w:rPr>
          <w:rFonts w:hint="eastAsia" w:ascii="宋体" w:hAnsi="宋体" w:eastAsia="宋体" w:cs="宋体"/>
          <w:color w:val="auto"/>
          <w:sz w:val="22"/>
          <w:szCs w:val="22"/>
        </w:rPr>
        <w:tab/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2</w:t>
      </w:r>
    </w:p>
    <w:p w14:paraId="74FCF86A">
      <w:pPr>
        <w:tabs>
          <w:tab w:val="right" w:leader="dot" w:pos="8500"/>
        </w:tabs>
        <w:spacing w:after="160" w:line="400" w:lineRule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t>四、四合一功能详解</w:t>
      </w:r>
      <w:r>
        <w:rPr>
          <w:rFonts w:hint="eastAsia" w:ascii="宋体" w:hAnsi="宋体" w:eastAsia="宋体" w:cs="宋体"/>
          <w:color w:val="auto"/>
          <w:sz w:val="22"/>
          <w:szCs w:val="22"/>
        </w:rPr>
        <w:tab/>
        <w:t>3</w:t>
      </w:r>
    </w:p>
    <w:p w14:paraId="7F8EDA06">
      <w:pPr>
        <w:tabs>
          <w:tab w:val="right" w:leader="dot" w:pos="8500"/>
        </w:tabs>
        <w:spacing w:after="160" w:line="400" w:lineRule="auto"/>
        <w:rPr>
          <w:rFonts w:hint="eastAsia" w:ascii="宋体" w:hAnsi="宋体" w:eastAsia="宋体" w:cs="宋体"/>
          <w:color w:val="auto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t>五、掺量确定方法</w:t>
      </w:r>
      <w:r>
        <w:rPr>
          <w:rFonts w:hint="eastAsia" w:ascii="宋体" w:hAnsi="宋体" w:eastAsia="宋体" w:cs="宋体"/>
          <w:color w:val="auto"/>
          <w:sz w:val="22"/>
          <w:szCs w:val="22"/>
        </w:rPr>
        <w:tab/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4</w:t>
      </w:r>
    </w:p>
    <w:p w14:paraId="766839A9">
      <w:pPr>
        <w:tabs>
          <w:tab w:val="right" w:leader="dot" w:pos="8500"/>
        </w:tabs>
        <w:spacing w:after="160" w:line="400" w:lineRule="auto"/>
        <w:rPr>
          <w:rFonts w:hint="eastAsia" w:ascii="宋体" w:hAnsi="宋体" w:eastAsia="宋体" w:cs="宋体"/>
          <w:color w:val="auto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t>六、厂拌热再生添加工艺</w:t>
      </w:r>
      <w:r>
        <w:rPr>
          <w:rFonts w:hint="eastAsia" w:ascii="宋体" w:hAnsi="宋体" w:eastAsia="宋体" w:cs="宋体"/>
          <w:color w:val="auto"/>
          <w:sz w:val="22"/>
          <w:szCs w:val="22"/>
        </w:rPr>
        <w:tab/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5</w:t>
      </w:r>
    </w:p>
    <w:p w14:paraId="400B08AE">
      <w:pPr>
        <w:tabs>
          <w:tab w:val="right" w:leader="dot" w:pos="8500"/>
        </w:tabs>
        <w:spacing w:after="160" w:line="400" w:lineRule="auto"/>
        <w:rPr>
          <w:rFonts w:hint="eastAsia" w:ascii="宋体" w:hAnsi="宋体" w:eastAsia="宋体" w:cs="宋体"/>
          <w:color w:val="auto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t>七、就地热（温）再生添加工艺</w:t>
      </w:r>
      <w:r>
        <w:rPr>
          <w:rFonts w:hint="eastAsia" w:ascii="宋体" w:hAnsi="宋体" w:eastAsia="宋体" w:cs="宋体"/>
          <w:color w:val="auto"/>
          <w:sz w:val="22"/>
          <w:szCs w:val="22"/>
        </w:rPr>
        <w:tab/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5</w:t>
      </w:r>
    </w:p>
    <w:p w14:paraId="62CBCFFC">
      <w:pPr>
        <w:tabs>
          <w:tab w:val="right" w:leader="dot" w:pos="8500"/>
        </w:tabs>
        <w:spacing w:after="160" w:line="400" w:lineRule="auto"/>
        <w:rPr>
          <w:rFonts w:hint="eastAsia" w:ascii="宋体" w:hAnsi="宋体" w:eastAsia="宋体" w:cs="宋体"/>
          <w:color w:val="auto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t>八、施工温度控制</w:t>
      </w:r>
      <w:r>
        <w:rPr>
          <w:rFonts w:hint="eastAsia" w:ascii="宋体" w:hAnsi="宋体" w:eastAsia="宋体" w:cs="宋体"/>
          <w:color w:val="auto"/>
          <w:sz w:val="22"/>
          <w:szCs w:val="22"/>
        </w:rPr>
        <w:tab/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6</w:t>
      </w:r>
    </w:p>
    <w:p w14:paraId="5849B82B">
      <w:pPr>
        <w:tabs>
          <w:tab w:val="right" w:leader="dot" w:pos="8500"/>
        </w:tabs>
        <w:spacing w:after="160" w:line="400" w:lineRule="auto"/>
        <w:rPr>
          <w:rFonts w:hint="eastAsia" w:ascii="宋体" w:hAnsi="宋体" w:eastAsia="宋体" w:cs="宋体"/>
          <w:color w:val="auto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t>九、质量检验与验收标准</w:t>
      </w:r>
      <w:r>
        <w:rPr>
          <w:rFonts w:hint="eastAsia" w:ascii="宋体" w:hAnsi="宋体" w:eastAsia="宋体" w:cs="宋体"/>
          <w:color w:val="auto"/>
          <w:sz w:val="22"/>
          <w:szCs w:val="22"/>
        </w:rPr>
        <w:tab/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7</w:t>
      </w:r>
    </w:p>
    <w:p w14:paraId="0DF27D41">
      <w:pPr>
        <w:tabs>
          <w:tab w:val="right" w:leader="dot" w:pos="8500"/>
        </w:tabs>
        <w:spacing w:after="160" w:line="400" w:lineRule="auto"/>
        <w:rPr>
          <w:rFonts w:hint="eastAsia" w:ascii="宋体" w:hAnsi="宋体" w:eastAsia="宋体" w:cs="宋体"/>
          <w:color w:val="auto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t>十、安全操作与防护措施</w:t>
      </w:r>
      <w:r>
        <w:rPr>
          <w:rFonts w:hint="eastAsia" w:ascii="宋体" w:hAnsi="宋体" w:eastAsia="宋体" w:cs="宋体"/>
          <w:color w:val="auto"/>
          <w:sz w:val="22"/>
          <w:szCs w:val="22"/>
        </w:rPr>
        <w:tab/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7</w:t>
      </w:r>
    </w:p>
    <w:p w14:paraId="274756C6">
      <w:pPr>
        <w:tabs>
          <w:tab w:val="right" w:leader="dot" w:pos="8500"/>
        </w:tabs>
        <w:spacing w:after="160" w:line="400" w:lineRule="auto"/>
        <w:rPr>
          <w:rFonts w:hint="eastAsia" w:ascii="宋体" w:hAnsi="宋体" w:eastAsia="宋体" w:cs="宋体"/>
          <w:color w:val="auto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t>十一、储存与运输要求</w:t>
      </w:r>
      <w:r>
        <w:rPr>
          <w:rFonts w:hint="eastAsia" w:ascii="宋体" w:hAnsi="宋体" w:eastAsia="宋体" w:cs="宋体"/>
          <w:color w:val="auto"/>
          <w:sz w:val="22"/>
          <w:szCs w:val="22"/>
        </w:rPr>
        <w:tab/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8</w:t>
      </w:r>
    </w:p>
    <w:p w14:paraId="668C7A98">
      <w:pPr>
        <w:tabs>
          <w:tab w:val="right" w:leader="dot" w:pos="8500"/>
        </w:tabs>
        <w:spacing w:after="160" w:line="400" w:lineRule="auto"/>
        <w:rPr>
          <w:rFonts w:hint="eastAsia" w:ascii="宋体" w:hAnsi="宋体" w:eastAsia="宋体" w:cs="宋体"/>
          <w:color w:val="auto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t>十二、环保与碳排放</w:t>
      </w:r>
      <w:r>
        <w:rPr>
          <w:rFonts w:hint="eastAsia" w:ascii="宋体" w:hAnsi="宋体" w:eastAsia="宋体" w:cs="宋体"/>
          <w:color w:val="auto"/>
          <w:sz w:val="22"/>
          <w:szCs w:val="22"/>
        </w:rPr>
        <w:tab/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9</w:t>
      </w:r>
    </w:p>
    <w:p w14:paraId="7C6486F5">
      <w:pPr>
        <w:tabs>
          <w:tab w:val="right" w:leader="dot" w:pos="8500"/>
        </w:tabs>
        <w:spacing w:after="160" w:line="400" w:lineRule="auto"/>
        <w:rPr>
          <w:rFonts w:hint="eastAsia" w:ascii="宋体" w:hAnsi="宋体" w:eastAsia="宋体" w:cs="宋体"/>
          <w:color w:val="auto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t>十三、常见故障与排除方法</w:t>
      </w:r>
      <w:r>
        <w:rPr>
          <w:rFonts w:hint="eastAsia" w:ascii="宋体" w:hAnsi="宋体" w:eastAsia="宋体" w:cs="宋体"/>
          <w:color w:val="auto"/>
          <w:sz w:val="22"/>
          <w:szCs w:val="22"/>
        </w:rPr>
        <w:tab/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9</w:t>
      </w:r>
    </w:p>
    <w:p w14:paraId="0821E0EA">
      <w:pPr>
        <w:tabs>
          <w:tab w:val="right" w:leader="dot" w:pos="8500"/>
        </w:tabs>
        <w:spacing w:after="160" w:line="400" w:lineRule="auto"/>
        <w:rPr>
          <w:rFonts w:hint="default" w:ascii="宋体" w:hAnsi="宋体" w:eastAsia="宋体" w:cs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t>十四、注意事项与禁忌</w:t>
      </w:r>
      <w:r>
        <w:rPr>
          <w:rFonts w:hint="eastAsia" w:ascii="宋体" w:hAnsi="宋体" w:eastAsia="宋体" w:cs="宋体"/>
          <w:color w:val="auto"/>
          <w:sz w:val="22"/>
          <w:szCs w:val="22"/>
        </w:rPr>
        <w:tab/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10</w:t>
      </w:r>
    </w:p>
    <w:p w14:paraId="74364C07">
      <w:pPr>
        <w:tabs>
          <w:tab w:val="right" w:leader="dot" w:pos="8500"/>
        </w:tabs>
        <w:spacing w:after="160" w:line="400" w:lineRule="auto"/>
        <w:rPr>
          <w:rFonts w:hint="default" w:ascii="宋体" w:hAnsi="宋体" w:eastAsia="宋体" w:cs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t>十五、附录：掺量计算示例</w:t>
      </w:r>
      <w:r>
        <w:rPr>
          <w:rFonts w:hint="eastAsia" w:ascii="宋体" w:hAnsi="宋体" w:eastAsia="宋体" w:cs="宋体"/>
          <w:color w:val="auto"/>
          <w:sz w:val="22"/>
          <w:szCs w:val="22"/>
        </w:rPr>
        <w:tab/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10</w:t>
      </w:r>
    </w:p>
    <w:p w14:paraId="6CB0C253">
      <w:pPr>
        <w:rPr>
          <w:rFonts w:hint="eastAsia" w:ascii="宋体" w:hAnsi="宋体" w:eastAsia="宋体" w:cs="宋体"/>
          <w:color w:val="auto"/>
        </w:rPr>
        <w:sectPr>
          <w:headerReference r:id="rId4" w:type="default"/>
          <w:footerReference r:id="rId5" w:type="default"/>
          <w:pgSz w:w="11906" w:h="16838"/>
          <w:pgMar w:top="1440" w:right="1440" w:bottom="1440" w:left="1440" w:header="708" w:footer="708" w:gutter="0"/>
          <w:cols w:space="720" w:num="1"/>
          <w:docGrid w:linePitch="360" w:charSpace="0"/>
        </w:sectPr>
      </w:pPr>
    </w:p>
    <w:p w14:paraId="1914C6D1">
      <w:pPr>
        <w:pStyle w:val="2"/>
        <w:spacing w:before="360" w:after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一、产品概述</w:t>
      </w:r>
    </w:p>
    <w:p w14:paraId="0667A431">
      <w:pPr>
        <w:spacing w:after="120" w:line="360" w:lineRule="auto"/>
        <w:ind w:firstLine="48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本产品为 A 型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四合一复合型沥青再生剂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，以高纯度生物质油/精制芳烃油为载体，复配高活性物质、低分子再生功能组分、特种高分子改性材料及净味抗老化助剂精制而成，一剂同时实现以下四大功能：</w:t>
      </w:r>
    </w:p>
    <w:tbl>
      <w:tblPr>
        <w:tblStyle w:val="13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00"/>
        <w:gridCol w:w="3600"/>
        <w:gridCol w:w="3626"/>
      </w:tblGrid>
      <w:tr w14:paraId="39A78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42335C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功能</w:t>
            </w:r>
          </w:p>
        </w:tc>
        <w:tc>
          <w:tcPr>
            <w:tcW w:w="36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E2464F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机理</w:t>
            </w:r>
          </w:p>
        </w:tc>
        <w:tc>
          <w:tcPr>
            <w:tcW w:w="36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CAF347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效果</w:t>
            </w:r>
          </w:p>
        </w:tc>
      </w:tr>
      <w:tr w14:paraId="49040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F0078F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① 再生</w:t>
            </w:r>
          </w:p>
        </w:tc>
        <w:tc>
          <w:tcPr>
            <w:tcW w:w="36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3EF0E38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补充老化沥青流失的饱和分、芳香分，溶解分散沥青质</w:t>
            </w:r>
          </w:p>
        </w:tc>
        <w:tc>
          <w:tcPr>
            <w:tcW w:w="36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0DE552C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恢复针入度、延度，降低软化点</w:t>
            </w:r>
          </w:p>
        </w:tc>
      </w:tr>
      <w:tr w14:paraId="39A2D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45FC9D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② 温拌</w:t>
            </w:r>
          </w:p>
        </w:tc>
        <w:tc>
          <w:tcPr>
            <w:tcW w:w="36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3AE3580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表面活性组分降低沥青高温粘度，改善流动性</w:t>
            </w:r>
          </w:p>
        </w:tc>
        <w:tc>
          <w:tcPr>
            <w:tcW w:w="36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611C995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拌和温度降低 20~40℃，节能减碳</w:t>
            </w:r>
          </w:p>
        </w:tc>
      </w:tr>
      <w:tr w14:paraId="548DD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642004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③ 改性</w:t>
            </w:r>
          </w:p>
        </w:tc>
        <w:tc>
          <w:tcPr>
            <w:tcW w:w="36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E7FDC46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高分子材料形成三维网状结构，增强沥青膜强度</w:t>
            </w:r>
          </w:p>
        </w:tc>
        <w:tc>
          <w:tcPr>
            <w:tcW w:w="36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17C9DD0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动稳定度提升 30~50%，抗车辙</w:t>
            </w:r>
          </w:p>
        </w:tc>
      </w:tr>
      <w:tr w14:paraId="32BB4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72F857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④ 净味</w:t>
            </w:r>
          </w:p>
        </w:tc>
        <w:tc>
          <w:tcPr>
            <w:tcW w:w="36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4C6222A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净味剂捕集沥青烟气中的 VOCs 和刺激性气味分子</w:t>
            </w:r>
          </w:p>
        </w:tc>
        <w:tc>
          <w:tcPr>
            <w:tcW w:w="36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0460F7B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沥青烟减排 40~60%，施工现场无异味</w:t>
            </w:r>
          </w:p>
        </w:tc>
      </w:tr>
    </w:tbl>
    <w:p w14:paraId="5EEF3A62">
      <w:pPr>
        <w:spacing w:after="60"/>
        <w:rPr>
          <w:rFonts w:hint="eastAsia" w:ascii="宋体" w:hAnsi="宋体" w:eastAsia="宋体" w:cs="宋体"/>
          <w:color w:val="auto"/>
        </w:rPr>
      </w:pPr>
    </w:p>
    <w:p w14:paraId="66465973">
      <w:pPr>
        <w:pStyle w:val="4"/>
        <w:spacing w:before="200" w:after="12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1.1 产品特点</w:t>
      </w:r>
    </w:p>
    <w:p w14:paraId="5CE70293">
      <w:pPr>
        <w:pStyle w:val="18"/>
        <w:numPr>
          <w:ilvl w:val="0"/>
          <w:numId w:val="1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一剂四效：再生 + 温拌 + 改性 + 净味，减少多剂分别添加的工序和误差</w:t>
      </w:r>
      <w:bookmarkStart w:id="0" w:name="_GoBack"/>
      <w:bookmarkEnd w:id="0"/>
    </w:p>
    <w:p w14:paraId="087EF032">
      <w:pPr>
        <w:pStyle w:val="18"/>
        <w:numPr>
          <w:ilvl w:val="0"/>
          <w:numId w:val="1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与石化沥青天然相容，渗透速度快、分散效率高（比石化类再生剂高 30%）</w:t>
      </w:r>
    </w:p>
    <w:p w14:paraId="28D215D1">
      <w:pPr>
        <w:pStyle w:val="18"/>
        <w:numPr>
          <w:ilvl w:val="0"/>
          <w:numId w:val="1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RAP 掺量可达 50%~80%，满足全比例再生需求</w:t>
      </w:r>
    </w:p>
    <w:p w14:paraId="0B9911A7">
      <w:pPr>
        <w:pStyle w:val="18"/>
        <w:numPr>
          <w:ilvl w:val="0"/>
          <w:numId w:val="1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开杯闪点 250~300℃，安全性远高于普通再生剂（≥220℃）</w:t>
      </w:r>
    </w:p>
    <w:p w14:paraId="5AEB7206">
      <w:pPr>
        <w:pStyle w:val="18"/>
        <w:numPr>
          <w:ilvl w:val="0"/>
          <w:numId w:val="1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低 VOCs 排放，生物质含量高（生物基型 ≥99%），符合 REACH 法规</w:t>
      </w:r>
    </w:p>
    <w:p w14:paraId="1DCE3B1E">
      <w:pPr>
        <w:pStyle w:val="18"/>
        <w:numPr>
          <w:ilvl w:val="0"/>
          <w:numId w:val="1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夏季候场时间 ≥24h，冬季 ≥12h，解决施工现场保温痛点</w:t>
      </w:r>
    </w:p>
    <w:p w14:paraId="3075526B">
      <w:pPr>
        <w:pStyle w:val="18"/>
        <w:numPr>
          <w:ilvl w:val="0"/>
          <w:numId w:val="1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可减少新沥青用量 5~10 kg/吨混合料，降低综合成本</w:t>
      </w:r>
    </w:p>
    <w:p w14:paraId="5C031321">
      <w:pPr>
        <w:pStyle w:val="4"/>
        <w:spacing w:before="200" w:after="12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1.2 成分构成（典型配方范围）</w:t>
      </w:r>
    </w:p>
    <w:tbl>
      <w:tblPr>
        <w:tblStyle w:val="13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28"/>
        <w:gridCol w:w="972"/>
        <w:gridCol w:w="2728"/>
        <w:gridCol w:w="2298"/>
      </w:tblGrid>
      <w:tr w14:paraId="1E96C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2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ACFCCF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组分</w:t>
            </w:r>
          </w:p>
        </w:tc>
        <w:tc>
          <w:tcPr>
            <w:tcW w:w="972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73D37D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占比</w:t>
            </w:r>
          </w:p>
        </w:tc>
        <w:tc>
          <w:tcPr>
            <w:tcW w:w="272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23EA5F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作用</w:t>
            </w:r>
          </w:p>
        </w:tc>
        <w:tc>
          <w:tcPr>
            <w:tcW w:w="229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BB6835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备注</w:t>
            </w:r>
          </w:p>
        </w:tc>
      </w:tr>
      <w:tr w14:paraId="53F33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2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540747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生物质油/芳烃油（载体）</w:t>
            </w:r>
          </w:p>
        </w:tc>
        <w:tc>
          <w:tcPr>
            <w:tcW w:w="972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5891D0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40~60%</w:t>
            </w:r>
          </w:p>
        </w:tc>
        <w:tc>
          <w:tcPr>
            <w:tcW w:w="272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BC95ED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溶解分散沥青质，补充轻质组分</w:t>
            </w:r>
          </w:p>
        </w:tc>
        <w:tc>
          <w:tcPr>
            <w:tcW w:w="229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18AB5B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生物基/石化基可选</w:t>
            </w:r>
          </w:p>
        </w:tc>
      </w:tr>
      <w:tr w14:paraId="53A8F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2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B767FC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高活性再生功能组分</w:t>
            </w:r>
          </w:p>
        </w:tc>
        <w:tc>
          <w:tcPr>
            <w:tcW w:w="972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444B0F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10~20%</w:t>
            </w:r>
          </w:p>
        </w:tc>
        <w:tc>
          <w:tcPr>
            <w:tcW w:w="272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C32230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精准恢复沥青胶体结构</w:t>
            </w:r>
          </w:p>
        </w:tc>
        <w:tc>
          <w:tcPr>
            <w:tcW w:w="229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12D37C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核心功能</w:t>
            </w:r>
          </w:p>
        </w:tc>
      </w:tr>
      <w:tr w14:paraId="0396E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2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ACDB8F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高分子改性材料</w:t>
            </w:r>
          </w:p>
        </w:tc>
        <w:tc>
          <w:tcPr>
            <w:tcW w:w="972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A7A932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5~15%</w:t>
            </w:r>
          </w:p>
        </w:tc>
        <w:tc>
          <w:tcPr>
            <w:tcW w:w="272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E0F719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增强高温稳定性、抗车辙</w:t>
            </w:r>
          </w:p>
        </w:tc>
        <w:tc>
          <w:tcPr>
            <w:tcW w:w="229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02F644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SBS/SEBS 类</w:t>
            </w:r>
          </w:p>
        </w:tc>
      </w:tr>
      <w:tr w14:paraId="11803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2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1AED5F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温拌降粘组分</w:t>
            </w:r>
          </w:p>
        </w:tc>
        <w:tc>
          <w:tcPr>
            <w:tcW w:w="972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F8B9F6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3~8%</w:t>
            </w:r>
          </w:p>
        </w:tc>
        <w:tc>
          <w:tcPr>
            <w:tcW w:w="272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943597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降低拌和粘度，实现低温施工</w:t>
            </w:r>
          </w:p>
        </w:tc>
        <w:tc>
          <w:tcPr>
            <w:tcW w:w="229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CB2858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表面活性剂类</w:t>
            </w:r>
          </w:p>
        </w:tc>
      </w:tr>
      <w:tr w14:paraId="623B6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2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2DBA76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净味抗老化助剂</w:t>
            </w:r>
          </w:p>
        </w:tc>
        <w:tc>
          <w:tcPr>
            <w:tcW w:w="972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9F779E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1~5%</w:t>
            </w:r>
          </w:p>
        </w:tc>
        <w:tc>
          <w:tcPr>
            <w:tcW w:w="272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37B3E0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捕集 VOCs、抑制氧化老化</w:t>
            </w:r>
          </w:p>
        </w:tc>
        <w:tc>
          <w:tcPr>
            <w:tcW w:w="229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1AA227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复配抗氧剂</w:t>
            </w:r>
          </w:p>
        </w:tc>
      </w:tr>
    </w:tbl>
    <w:p w14:paraId="7E41159B">
      <w:pPr>
        <w:pStyle w:val="2"/>
        <w:spacing w:before="360" w:after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二、适用范围</w:t>
      </w:r>
    </w:p>
    <w:p w14:paraId="711CE333">
      <w:pPr>
        <w:pStyle w:val="4"/>
        <w:spacing w:before="200" w:after="12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2.1 适用场景</w:t>
      </w:r>
    </w:p>
    <w:p w14:paraId="3A6AB491">
      <w:pPr>
        <w:pStyle w:val="18"/>
        <w:numPr>
          <w:ilvl w:val="0"/>
          <w:numId w:val="2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高速公路大中修：RAP 掺量 50%~80% 厂拌热再生，旧料全比例利用</w:t>
      </w:r>
    </w:p>
    <w:p w14:paraId="0B2FDF32">
      <w:pPr>
        <w:pStyle w:val="18"/>
        <w:numPr>
          <w:ilvl w:val="0"/>
          <w:numId w:val="2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国省干线、市政道路：再生 + 超薄罩面（1~2 cm）一体化施工</w:t>
      </w:r>
    </w:p>
    <w:p w14:paraId="1F85B3FB">
      <w:pPr>
        <w:pStyle w:val="18"/>
        <w:numPr>
          <w:ilvl w:val="0"/>
          <w:numId w:val="2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就地热（温）再生：机组同步喷洒，恢复表面层性能</w:t>
      </w:r>
    </w:p>
    <w:p w14:paraId="6BB0768F">
      <w:pPr>
        <w:pStyle w:val="18"/>
        <w:numPr>
          <w:ilvl w:val="0"/>
          <w:numId w:val="2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重载交通路段：改性功能提升动稳定度，适用于长大纵坡、十字路口</w:t>
      </w:r>
    </w:p>
    <w:p w14:paraId="0E125DCB">
      <w:pPr>
        <w:pStyle w:val="18"/>
        <w:numPr>
          <w:ilvl w:val="0"/>
          <w:numId w:val="2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城市夜间施工：净味功能减少扰民投诉</w:t>
      </w:r>
    </w:p>
    <w:p w14:paraId="42D9336D">
      <w:pPr>
        <w:pStyle w:val="18"/>
        <w:numPr>
          <w:ilvl w:val="0"/>
          <w:numId w:val="2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高寒地区：温拌功能延长有效压实窗口</w:t>
      </w:r>
    </w:p>
    <w:p w14:paraId="06F4C62F">
      <w:pPr>
        <w:pStyle w:val="18"/>
        <w:numPr>
          <w:ilvl w:val="0"/>
          <w:numId w:val="2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排水沥青路面（OGFC）再生：高粘改性功能适配</w:t>
      </w:r>
    </w:p>
    <w:p w14:paraId="5032D023">
      <w:pPr>
        <w:pStyle w:val="4"/>
        <w:spacing w:before="200" w:after="12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2.2 不适用范围</w:t>
      </w:r>
    </w:p>
    <w:p w14:paraId="4D8ECE6D">
      <w:pPr>
        <w:spacing w:after="80" w:line="340" w:lineRule="auto"/>
        <w:ind w:left="360" w:hanging="36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 xml:space="preserve">⚠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严禁用柴油、机油、煤焦油、轻油等替代四合一再生剂</w:t>
      </w:r>
    </w:p>
    <w:p w14:paraId="493C6C85">
      <w:pPr>
        <w:spacing w:after="80" w:line="340" w:lineRule="auto"/>
        <w:ind w:left="360" w:hanging="36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 xml:space="preserve">⚠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不适用于因结构层破坏需翻修的路面（应先结构补强）</w:t>
      </w:r>
    </w:p>
    <w:p w14:paraId="0192E617">
      <w:pPr>
        <w:spacing w:after="80" w:line="340" w:lineRule="auto"/>
        <w:ind w:left="360" w:hanging="36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 xml:space="preserve">⚠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生物基型在 -10℃ 以下直投时需预热至 15℃ 以上再使用</w:t>
      </w:r>
    </w:p>
    <w:p w14:paraId="6B1CF911">
      <w:pPr>
        <w:pStyle w:val="2"/>
        <w:spacing w:before="360" w:after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三、技术参数与性能指标</w:t>
      </w:r>
    </w:p>
    <w:p w14:paraId="7275241C">
      <w:pPr>
        <w:pStyle w:val="4"/>
        <w:spacing w:before="200" w:after="12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3.1 基本物化指标</w:t>
      </w:r>
    </w:p>
    <w:tbl>
      <w:tblPr>
        <w:tblStyle w:val="13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600"/>
        <w:gridCol w:w="2600"/>
        <w:gridCol w:w="1800"/>
        <w:gridCol w:w="2026"/>
      </w:tblGrid>
      <w:tr w14:paraId="4AABF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12FECA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检测项目</w:t>
            </w:r>
          </w:p>
        </w:tc>
        <w:tc>
          <w:tcPr>
            <w:tcW w:w="26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9685D4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技术指标</w:t>
            </w:r>
          </w:p>
        </w:tc>
        <w:tc>
          <w:tcPr>
            <w:tcW w:w="18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22E476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试验方法</w:t>
            </w:r>
          </w:p>
        </w:tc>
        <w:tc>
          <w:tcPr>
            <w:tcW w:w="20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593CE2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备注</w:t>
            </w:r>
          </w:p>
        </w:tc>
      </w:tr>
      <w:tr w14:paraId="2F92B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1185F1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外观</w:t>
            </w:r>
          </w:p>
        </w:tc>
        <w:tc>
          <w:tcPr>
            <w:tcW w:w="26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45BEB6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棕红色至黑色均匀液体/膏体</w:t>
            </w:r>
          </w:p>
        </w:tc>
        <w:tc>
          <w:tcPr>
            <w:tcW w:w="18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4A45DD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目测</w:t>
            </w:r>
          </w:p>
        </w:tc>
        <w:tc>
          <w:tcPr>
            <w:tcW w:w="20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9451D8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—</w:t>
            </w:r>
          </w:p>
        </w:tc>
      </w:tr>
      <w:tr w14:paraId="392D5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A06631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密度（15℃）g/cm³</w:t>
            </w:r>
          </w:p>
        </w:tc>
        <w:tc>
          <w:tcPr>
            <w:tcW w:w="26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1F9840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0.90~1.10</w:t>
            </w:r>
          </w:p>
        </w:tc>
        <w:tc>
          <w:tcPr>
            <w:tcW w:w="18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E5F75F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GB/T 1884</w:t>
            </w:r>
          </w:p>
        </w:tc>
        <w:tc>
          <w:tcPr>
            <w:tcW w:w="20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273555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—</w:t>
            </w:r>
          </w:p>
        </w:tc>
      </w:tr>
      <w:tr w14:paraId="2E777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933093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开杯闪点 ℃</w:t>
            </w:r>
          </w:p>
        </w:tc>
        <w:tc>
          <w:tcPr>
            <w:tcW w:w="26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2E83E3C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190</w:t>
            </w:r>
          </w:p>
        </w:tc>
        <w:tc>
          <w:tcPr>
            <w:tcW w:w="18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71FD312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0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AB9270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安全亮点</w:t>
            </w:r>
          </w:p>
        </w:tc>
      </w:tr>
      <w:tr w14:paraId="48D80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67634D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60℃运动粘度 cSt</w:t>
            </w:r>
          </w:p>
        </w:tc>
        <w:tc>
          <w:tcPr>
            <w:tcW w:w="26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34C8210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30-800</w:t>
            </w:r>
          </w:p>
        </w:tc>
        <w:tc>
          <w:tcPr>
            <w:tcW w:w="18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25E392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GB/T 265</w:t>
            </w:r>
          </w:p>
        </w:tc>
        <w:tc>
          <w:tcPr>
            <w:tcW w:w="20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1699FF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依型号</w:t>
            </w:r>
          </w:p>
        </w:tc>
      </w:tr>
      <w:tr w14:paraId="6FFB3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A917A9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含水率 %</w:t>
            </w:r>
          </w:p>
        </w:tc>
        <w:tc>
          <w:tcPr>
            <w:tcW w:w="26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19C5C8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≤ 0.5</w:t>
            </w:r>
          </w:p>
        </w:tc>
        <w:tc>
          <w:tcPr>
            <w:tcW w:w="18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6575F9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GB/T 260</w:t>
            </w:r>
          </w:p>
        </w:tc>
        <w:tc>
          <w:tcPr>
            <w:tcW w:w="20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79E8F3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—</w:t>
            </w:r>
          </w:p>
        </w:tc>
      </w:tr>
    </w:tbl>
    <w:p w14:paraId="48E9F770">
      <w:pPr>
        <w:spacing w:after="60"/>
        <w:rPr>
          <w:rFonts w:hint="eastAsia" w:ascii="宋体" w:hAnsi="宋体" w:eastAsia="宋体" w:cs="宋体"/>
          <w:color w:val="auto"/>
        </w:rPr>
      </w:pPr>
    </w:p>
    <w:p w14:paraId="6EDB1878">
      <w:pPr>
        <w:pStyle w:val="4"/>
        <w:spacing w:before="200" w:after="12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3.2 四合一功能效果指标</w:t>
      </w:r>
    </w:p>
    <w:tbl>
      <w:tblPr>
        <w:tblStyle w:val="13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95"/>
        <w:gridCol w:w="2866"/>
        <w:gridCol w:w="1684"/>
        <w:gridCol w:w="1381"/>
      </w:tblGrid>
      <w:tr w14:paraId="3F0D9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95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C308A4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功能维度</w:t>
            </w:r>
          </w:p>
        </w:tc>
        <w:tc>
          <w:tcPr>
            <w:tcW w:w="286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5C4596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技术指标</w:t>
            </w:r>
          </w:p>
        </w:tc>
        <w:tc>
          <w:tcPr>
            <w:tcW w:w="1684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DB8B9C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试验方法</w:t>
            </w:r>
          </w:p>
        </w:tc>
        <w:tc>
          <w:tcPr>
            <w:tcW w:w="1381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15EA6B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 w14:paraId="31198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95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2E8D49C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【再生】针入度恢复率</w:t>
            </w:r>
          </w:p>
        </w:tc>
        <w:tc>
          <w:tcPr>
            <w:tcW w:w="286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63F0CEB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≥ 85%（高活性型 ≥90%）</w:t>
            </w:r>
          </w:p>
        </w:tc>
        <w:tc>
          <w:tcPr>
            <w:tcW w:w="1684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CD9F752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JTG E20 T0604</w:t>
            </w:r>
          </w:p>
        </w:tc>
        <w:tc>
          <w:tcPr>
            <w:tcW w:w="1381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32A94FA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核心</w:t>
            </w:r>
          </w:p>
        </w:tc>
      </w:tr>
      <w:tr w14:paraId="11B84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95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40BB961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【再生】软化点降幅 ℃</w:t>
            </w:r>
          </w:p>
        </w:tc>
        <w:tc>
          <w:tcPr>
            <w:tcW w:w="286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A10E8C5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较老化沥青降低 10~20</w:t>
            </w:r>
          </w:p>
        </w:tc>
        <w:tc>
          <w:tcPr>
            <w:tcW w:w="1684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63D6FDB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JTG E20 T0606</w:t>
            </w:r>
          </w:p>
        </w:tc>
        <w:tc>
          <w:tcPr>
            <w:tcW w:w="1381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099F20F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核心</w:t>
            </w:r>
          </w:p>
        </w:tc>
      </w:tr>
      <w:tr w14:paraId="6CCA5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95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43DEE8A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【再生】15℃延度 cm</w:t>
            </w:r>
          </w:p>
        </w:tc>
        <w:tc>
          <w:tcPr>
            <w:tcW w:w="286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F669F8B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≥ 50（TFOT 后）</w:t>
            </w:r>
          </w:p>
        </w:tc>
        <w:tc>
          <w:tcPr>
            <w:tcW w:w="1684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F99AD29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JTG E20 T0605</w:t>
            </w:r>
          </w:p>
        </w:tc>
        <w:tc>
          <w:tcPr>
            <w:tcW w:w="1381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E822DD1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抗裂</w:t>
            </w:r>
          </w:p>
        </w:tc>
      </w:tr>
      <w:tr w14:paraId="68894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95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7218B8A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【温拌】拌和降温 ℃</w:t>
            </w:r>
          </w:p>
        </w:tc>
        <w:tc>
          <w:tcPr>
            <w:tcW w:w="286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4CC1B8A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20~40</w:t>
            </w:r>
          </w:p>
        </w:tc>
        <w:tc>
          <w:tcPr>
            <w:tcW w:w="1684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170C40E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黏温曲线法</w:t>
            </w:r>
          </w:p>
        </w:tc>
        <w:tc>
          <w:tcPr>
            <w:tcW w:w="1381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156182A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节能</w:t>
            </w:r>
          </w:p>
        </w:tc>
      </w:tr>
      <w:tr w14:paraId="1DFFD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95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178DCCC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【温拌】压实温度降幅 ℃</w:t>
            </w:r>
          </w:p>
        </w:tc>
        <w:tc>
          <w:tcPr>
            <w:tcW w:w="286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DA3A237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≥ 20</w:t>
            </w:r>
          </w:p>
        </w:tc>
        <w:tc>
          <w:tcPr>
            <w:tcW w:w="1684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7B95200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现场实测</w:t>
            </w:r>
          </w:p>
        </w:tc>
        <w:tc>
          <w:tcPr>
            <w:tcW w:w="1381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572711E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延长窗口</w:t>
            </w:r>
          </w:p>
        </w:tc>
      </w:tr>
      <w:tr w14:paraId="03579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95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942677E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【改性】动稳定度 次/mm</w:t>
            </w:r>
          </w:p>
        </w:tc>
        <w:tc>
          <w:tcPr>
            <w:tcW w:w="286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7B4F28E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≥ 3500（基质）/ ≥5000（SBS）</w:t>
            </w:r>
          </w:p>
        </w:tc>
        <w:tc>
          <w:tcPr>
            <w:tcW w:w="1684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88D5F52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JTG E20 T0719</w:t>
            </w:r>
          </w:p>
        </w:tc>
        <w:tc>
          <w:tcPr>
            <w:tcW w:w="1381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F58568D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车辙</w:t>
            </w:r>
          </w:p>
        </w:tc>
      </w:tr>
      <w:tr w14:paraId="5AC2C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95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D8FFDB9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【改性】冻融劈裂比 TSR %</w:t>
            </w:r>
          </w:p>
        </w:tc>
        <w:tc>
          <w:tcPr>
            <w:tcW w:w="286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76D0C50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≥ 80</w:t>
            </w:r>
          </w:p>
        </w:tc>
        <w:tc>
          <w:tcPr>
            <w:tcW w:w="1684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5C99AF0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JTG E20 T0729</w:t>
            </w:r>
          </w:p>
        </w:tc>
        <w:tc>
          <w:tcPr>
            <w:tcW w:w="1381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81A1AB6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水稳</w:t>
            </w:r>
          </w:p>
        </w:tc>
      </w:tr>
      <w:tr w14:paraId="2293D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95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BAD7DA8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【净味】沥青烟减排 %</w:t>
            </w:r>
          </w:p>
        </w:tc>
        <w:tc>
          <w:tcPr>
            <w:tcW w:w="286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F875717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≥ 40（典型 50~60）</w:t>
            </w:r>
          </w:p>
        </w:tc>
        <w:tc>
          <w:tcPr>
            <w:tcW w:w="1684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E6238AD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HJ 734 / 现场检测</w:t>
            </w:r>
          </w:p>
        </w:tc>
        <w:tc>
          <w:tcPr>
            <w:tcW w:w="1381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577644B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环保</w:t>
            </w:r>
          </w:p>
        </w:tc>
      </w:tr>
      <w:tr w14:paraId="71E2A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95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04B2BCB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【净味】VOCs 排放 g/kg</w:t>
            </w:r>
          </w:p>
        </w:tc>
        <w:tc>
          <w:tcPr>
            <w:tcW w:w="286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277AE85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≤ 0.5</w:t>
            </w:r>
          </w:p>
        </w:tc>
        <w:tc>
          <w:tcPr>
            <w:tcW w:w="1684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0BF7E62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HJ 734</w:t>
            </w:r>
          </w:p>
        </w:tc>
        <w:tc>
          <w:tcPr>
            <w:tcW w:w="1381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4F0C29D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净味</w:t>
            </w:r>
          </w:p>
        </w:tc>
      </w:tr>
    </w:tbl>
    <w:p w14:paraId="1B3AD0A7">
      <w:pPr>
        <w:pStyle w:val="2"/>
        <w:spacing w:before="360" w:after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四、四合一功能详解</w:t>
      </w:r>
    </w:p>
    <w:p w14:paraId="46E127F4">
      <w:pPr>
        <w:pStyle w:val="4"/>
        <w:spacing w:before="200" w:after="12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4.1 再生功能</w:t>
      </w:r>
    </w:p>
    <w:p w14:paraId="27BD93AC">
      <w:pPr>
        <w:spacing w:after="120" w:line="360" w:lineRule="auto"/>
        <w:ind w:firstLine="48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针对老化沥青流失饱和分、芳香分导致沥青质集聚的问题，通过高活性再生组分快速渗透、溶解分散沥青质，重新平衡沥青四组分（沥青质/胶质/芳香分/饱和分），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精准恢复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针入度、延度与软化点。</w:t>
      </w:r>
    </w:p>
    <w:p w14:paraId="16763E2E">
      <w:pPr>
        <w:spacing w:after="120" w:line="360" w:lineRule="auto"/>
        <w:ind w:firstLine="48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关键技术指标：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再生后沥青针入度恢复率 ≥85%，TFOT 后延度保持率 ≥65%，可满足 RAP 掺量 80% 以上全比例再生。</w:t>
      </w:r>
    </w:p>
    <w:p w14:paraId="0071144A">
      <w:pPr>
        <w:pStyle w:val="4"/>
        <w:spacing w:before="200" w:after="12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4.2 温拌功能</w:t>
      </w:r>
    </w:p>
    <w:p w14:paraId="2ED54562">
      <w:pPr>
        <w:spacing w:after="120" w:line="360" w:lineRule="auto"/>
        <w:ind w:firstLine="48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表面活性降粘组分在高温下吸附于沥青胶团表面，降低界面张力，使沥青在较低温度下仍保持良好的流动性和裹覆性。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降温幅度 20~40℃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，压实温度可降低 ≥20℃，显著延长施工有效时间窗口。</w:t>
      </w:r>
    </w:p>
    <w:p w14:paraId="4E24E351">
      <w:pPr>
        <w:pStyle w:val="4"/>
        <w:spacing w:before="200" w:after="12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4.3 改性功能</w:t>
      </w:r>
    </w:p>
    <w:p w14:paraId="7360118E">
      <w:pPr>
        <w:spacing w:after="120" w:line="360" w:lineRule="auto"/>
        <w:ind w:firstLine="48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特种高分子材料（SEBS/SBS 类）在沥青中形成三维网状结构，显著提升高温抗车辙能力和低温抗裂性能。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动稳定度可达 3500~5000 次/mm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，适用于重载交通和长大纵坡路段。</w:t>
      </w:r>
    </w:p>
    <w:p w14:paraId="570508B3">
      <w:pPr>
        <w:pStyle w:val="4"/>
        <w:spacing w:before="200" w:after="12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4.4 净味功能</w:t>
      </w:r>
    </w:p>
    <w:p w14:paraId="6177D972">
      <w:pPr>
        <w:spacing w:after="120" w:line="360" w:lineRule="auto"/>
        <w:ind w:firstLine="48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净味助剂通过物理吸附和化学捕集双重机制，减少沥青加热过程中 VOCs、H₂S、SO₂ 等刺激性气体的释放。施工现场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沥青烟减排 40~60%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，基本无刺激性气味，适合城市夜间施工和居民区周边作业。</w:t>
      </w:r>
    </w:p>
    <w:p w14:paraId="45D970C8">
      <w:pPr>
        <w:pStyle w:val="2"/>
        <w:spacing w:before="360" w:after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五、掺量确定方法</w:t>
      </w:r>
    </w:p>
    <w:p w14:paraId="20EFB3F9">
      <w:pPr>
        <w:spacing w:after="120" w:line="360" w:lineRule="auto"/>
        <w:ind w:firstLine="48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四合一再生剂掺量须由试验室通过抽提试验确定，严禁凭经验盲目添加。</w:t>
      </w:r>
    </w:p>
    <w:p w14:paraId="45279510">
      <w:pPr>
        <w:pStyle w:val="4"/>
        <w:spacing w:before="200" w:after="12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5.1 老化程度分级与推荐掺量</w:t>
      </w:r>
    </w:p>
    <w:tbl>
      <w:tblPr>
        <w:tblStyle w:val="13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00"/>
        <w:gridCol w:w="2400"/>
        <w:gridCol w:w="2400"/>
        <w:gridCol w:w="2426"/>
      </w:tblGrid>
      <w:tr w14:paraId="05275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F7F854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老化等级</w:t>
            </w:r>
          </w:p>
        </w:tc>
        <w:tc>
          <w:tcPr>
            <w:tcW w:w="24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379FBF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旧沥青针入度（0.1mm）</w:t>
            </w:r>
          </w:p>
        </w:tc>
        <w:tc>
          <w:tcPr>
            <w:tcW w:w="24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4E78D6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A 型四合一掺量*</w:t>
            </w:r>
          </w:p>
        </w:tc>
        <w:tc>
          <w:tcPr>
            <w:tcW w:w="24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74461E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 w14:paraId="237F9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CEE712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轻度</w:t>
            </w:r>
          </w:p>
        </w:tc>
        <w:tc>
          <w:tcPr>
            <w:tcW w:w="24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167813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60~75</w:t>
            </w:r>
          </w:p>
        </w:tc>
        <w:tc>
          <w:tcPr>
            <w:tcW w:w="24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F82B4E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0.3‰~0.5‰</w:t>
            </w:r>
          </w:p>
        </w:tc>
        <w:tc>
          <w:tcPr>
            <w:tcW w:w="24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7258C70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按混合料总质量</w:t>
            </w:r>
          </w:p>
        </w:tc>
      </w:tr>
      <w:tr w14:paraId="6DEEF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FFACA3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中度</w:t>
            </w:r>
          </w:p>
        </w:tc>
        <w:tc>
          <w:tcPr>
            <w:tcW w:w="24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20E4FE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40~60</w:t>
            </w:r>
          </w:p>
        </w:tc>
        <w:tc>
          <w:tcPr>
            <w:tcW w:w="24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F890F6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0.5‰~0.8‰</w:t>
            </w:r>
          </w:p>
        </w:tc>
        <w:tc>
          <w:tcPr>
            <w:tcW w:w="24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29F2157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常见工况</w:t>
            </w:r>
          </w:p>
        </w:tc>
      </w:tr>
      <w:tr w14:paraId="71BA0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7CF4C0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重度</w:t>
            </w:r>
          </w:p>
        </w:tc>
        <w:tc>
          <w:tcPr>
            <w:tcW w:w="24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3E5279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20~40</w:t>
            </w:r>
          </w:p>
        </w:tc>
        <w:tc>
          <w:tcPr>
            <w:tcW w:w="24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E20F9E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0.8‰~1.0‰</w:t>
            </w:r>
          </w:p>
        </w:tc>
        <w:tc>
          <w:tcPr>
            <w:tcW w:w="24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746A40F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高掺量 RAP</w:t>
            </w:r>
          </w:p>
        </w:tc>
      </w:tr>
    </w:tbl>
    <w:p w14:paraId="3F49EFAE">
      <w:pPr>
        <w:spacing w:after="120" w:line="360" w:lineRule="auto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color w:val="auto"/>
          <w:sz w:val="24"/>
          <w:szCs w:val="24"/>
        </w:rPr>
        <w:t>* 四合一型产品活性高，掺量按再生剂占混合料总质量千分比计（非占旧沥青百分比），具体以厂家推荐和试验为准。</w:t>
      </w:r>
    </w:p>
    <w:p w14:paraId="2708E034">
      <w:pPr>
        <w:spacing w:after="60"/>
        <w:rPr>
          <w:rFonts w:hint="eastAsia" w:ascii="宋体" w:hAnsi="宋体" w:eastAsia="宋体" w:cs="宋体"/>
          <w:color w:val="auto"/>
        </w:rPr>
      </w:pPr>
    </w:p>
    <w:p w14:paraId="4456CF5B">
      <w:pPr>
        <w:pStyle w:val="4"/>
        <w:spacing w:before="200" w:after="12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5.2 按 RAP 掺量的经验参考</w:t>
      </w:r>
    </w:p>
    <w:tbl>
      <w:tblPr>
        <w:tblStyle w:val="13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800"/>
        <w:gridCol w:w="3000"/>
        <w:gridCol w:w="3226"/>
      </w:tblGrid>
      <w:tr w14:paraId="046D5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0692E1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RAP 掺量 %</w:t>
            </w:r>
          </w:p>
        </w:tc>
        <w:tc>
          <w:tcPr>
            <w:tcW w:w="3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E8DC2E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四合一再生剂占混合料 ‰</w:t>
            </w:r>
          </w:p>
        </w:tc>
        <w:tc>
          <w:tcPr>
            <w:tcW w:w="32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3B7A5F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备注</w:t>
            </w:r>
          </w:p>
        </w:tc>
      </w:tr>
      <w:tr w14:paraId="650FE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BDE9A4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20~30</w:t>
            </w:r>
          </w:p>
        </w:tc>
        <w:tc>
          <w:tcPr>
            <w:tcW w:w="3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BE91BC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0.3~0.5</w:t>
            </w:r>
          </w:p>
        </w:tc>
        <w:tc>
          <w:tcPr>
            <w:tcW w:w="32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821F42D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轻度再生+温拌为主</w:t>
            </w:r>
          </w:p>
        </w:tc>
      </w:tr>
      <w:tr w14:paraId="5FAF4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E16A16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30~50</w:t>
            </w:r>
          </w:p>
        </w:tc>
        <w:tc>
          <w:tcPr>
            <w:tcW w:w="3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6E58D9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0.5~0.8</w:t>
            </w:r>
          </w:p>
        </w:tc>
        <w:tc>
          <w:tcPr>
            <w:tcW w:w="32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C12409E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中度再生+改性增强</w:t>
            </w:r>
          </w:p>
        </w:tc>
      </w:tr>
      <w:tr w14:paraId="37570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C37826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50~80</w:t>
            </w:r>
          </w:p>
        </w:tc>
        <w:tc>
          <w:tcPr>
            <w:tcW w:w="3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8B1F07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0.8~1.0</w:t>
            </w:r>
          </w:p>
        </w:tc>
        <w:tc>
          <w:tcPr>
            <w:tcW w:w="32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CF152B9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重度再生+全比例利用</w:t>
            </w:r>
          </w:p>
        </w:tc>
      </w:tr>
      <w:tr w14:paraId="4FCEE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4A4013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&gt;80（全比例）</w:t>
            </w:r>
          </w:p>
        </w:tc>
        <w:tc>
          <w:tcPr>
            <w:tcW w:w="3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32AD63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1.0~1.2</w:t>
            </w:r>
          </w:p>
        </w:tc>
        <w:tc>
          <w:tcPr>
            <w:tcW w:w="32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F46BF9D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须经专项试验验证</w:t>
            </w:r>
          </w:p>
        </w:tc>
      </w:tr>
    </w:tbl>
    <w:p w14:paraId="686859F7">
      <w:pPr>
        <w:spacing w:after="60"/>
        <w:rPr>
          <w:rFonts w:hint="eastAsia" w:ascii="宋体" w:hAnsi="宋体" w:eastAsia="宋体" w:cs="宋体"/>
          <w:color w:val="auto"/>
        </w:rPr>
      </w:pPr>
    </w:p>
    <w:p w14:paraId="3CFAFA5A">
      <w:pPr>
        <w:pStyle w:val="4"/>
        <w:spacing w:before="200" w:after="12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5.3 针入度调和法公式（再生组分）</w:t>
      </w:r>
    </w:p>
    <w:p w14:paraId="4D7ECFC4">
      <w:pPr>
        <w:spacing w:after="120" w:line="360" w:lineRule="auto"/>
        <w:ind w:firstLine="48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估算再生功能对旧沥青的掺量 P：</w:t>
      </w:r>
    </w:p>
    <w:p w14:paraId="610B9249">
      <w:pPr>
        <w:shd w:val="clear" w:fill="DEEAF6"/>
        <w:spacing w:before="100" w:after="100"/>
        <w:ind w:left="600" w:right="600"/>
        <w:jc w:val="center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P = [(lg K₀ - lg Kmix) / (lg K₀ - lg Kr)] × 100%</w:t>
      </w:r>
    </w:p>
    <w:p w14:paraId="6DB0CCA4">
      <w:pPr>
        <w:spacing w:after="120" w:line="360" w:lineRule="auto"/>
        <w:ind w:firstLine="48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式中：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K₀—旧沥青针入度（0.1mm）；Kmix—目标针入度（0.1mm）；Kr—再生剂调和针入度（0.1mm）。</w:t>
      </w:r>
    </w:p>
    <w:p w14:paraId="0BC0F06E">
      <w:pPr>
        <w:spacing w:after="80" w:line="340" w:lineRule="auto"/>
        <w:ind w:left="360" w:hanging="36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 xml:space="preserve">⚠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四合一产品整体掺量按 5.2 节经验表选取即可，无需单独拆分再生/温拌/改性/净味各组分。</w:t>
      </w:r>
    </w:p>
    <w:p w14:paraId="171DAC24">
      <w:pPr>
        <w:pStyle w:val="2"/>
        <w:spacing w:before="360" w:after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六、厂拌热再生添加工艺</w:t>
      </w:r>
    </w:p>
    <w:p w14:paraId="275FA18E">
      <w:pPr>
        <w:pStyle w:val="4"/>
        <w:spacing w:before="200" w:after="12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6.1 设备要求</w:t>
      </w:r>
    </w:p>
    <w:p w14:paraId="59AB4997">
      <w:pPr>
        <w:pStyle w:val="18"/>
        <w:numPr>
          <w:ilvl w:val="0"/>
          <w:numId w:val="3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拌合楼增设 RAP 专用料仓（≥2 个，带防离析装置）</w:t>
      </w:r>
    </w:p>
    <w:p w14:paraId="5376463C">
      <w:pPr>
        <w:pStyle w:val="18"/>
        <w:numPr>
          <w:ilvl w:val="0"/>
          <w:numId w:val="3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RAP 间接加热滚筒（火焰不直接接触料）</w:t>
      </w:r>
    </w:p>
    <w:p w14:paraId="10519133">
      <w:pPr>
        <w:pStyle w:val="18"/>
        <w:numPr>
          <w:ilvl w:val="0"/>
          <w:numId w:val="3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四合一再生剂独立计量泵 + 雾化/喷射系统（液体型）</w:t>
      </w:r>
    </w:p>
    <w:p w14:paraId="615357BE">
      <w:pPr>
        <w:pStyle w:val="18"/>
        <w:numPr>
          <w:ilvl w:val="0"/>
          <w:numId w:val="3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或直接投料装置（颗粒/膏体型）</w:t>
      </w:r>
    </w:p>
    <w:p w14:paraId="74500E46">
      <w:pPr>
        <w:pStyle w:val="18"/>
        <w:numPr>
          <w:ilvl w:val="0"/>
          <w:numId w:val="3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质量流量计或高精度齿轮泵（精度 ±0.5%）</w:t>
      </w:r>
    </w:p>
    <w:p w14:paraId="7AFCCC86">
      <w:pPr>
        <w:pStyle w:val="18"/>
        <w:numPr>
          <w:ilvl w:val="0"/>
          <w:numId w:val="3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控制系统具备再生剂自动配比和温度联动功能</w:t>
      </w:r>
    </w:p>
    <w:p w14:paraId="1C4F08DE">
      <w:pPr>
        <w:pStyle w:val="4"/>
        <w:spacing w:before="200" w:after="12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6.2 投料顺序（关键）</w:t>
      </w:r>
    </w:p>
    <w:tbl>
      <w:tblPr>
        <w:tblStyle w:val="13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00"/>
        <w:gridCol w:w="7426"/>
      </w:tblGrid>
      <w:tr w14:paraId="30044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DFA3E5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步骤</w:t>
            </w:r>
          </w:p>
        </w:tc>
        <w:tc>
          <w:tcPr>
            <w:tcW w:w="74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FE9AAF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操作内容</w:t>
            </w:r>
          </w:p>
        </w:tc>
      </w:tr>
      <w:tr w14:paraId="6B788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768122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Step 1</w:t>
            </w:r>
          </w:p>
        </w:tc>
        <w:tc>
          <w:tcPr>
            <w:tcW w:w="74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6216F96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新集料进入搅拌缸</w:t>
            </w:r>
          </w:p>
        </w:tc>
      </w:tr>
      <w:tr w14:paraId="209B7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172F7F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Step 2</w:t>
            </w:r>
          </w:p>
        </w:tc>
        <w:tc>
          <w:tcPr>
            <w:tcW w:w="74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20EFB8F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RAP 进入搅拌缸，同时四合一再生剂同步雾化喷洒（或颗粒直投）</w:t>
            </w:r>
          </w:p>
        </w:tc>
      </w:tr>
      <w:tr w14:paraId="11A0D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B5562E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Step 3</w:t>
            </w:r>
          </w:p>
        </w:tc>
        <w:tc>
          <w:tcPr>
            <w:tcW w:w="74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28BE7F1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干拌 10~15 秒（再生渗透 + 温拌降粘 + 改性分散同步进行）</w:t>
            </w:r>
          </w:p>
        </w:tc>
      </w:tr>
      <w:tr w14:paraId="79BE7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F9C687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Step 4</w:t>
            </w:r>
          </w:p>
        </w:tc>
        <w:tc>
          <w:tcPr>
            <w:tcW w:w="74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7B44D7C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喷入新沥青（基质或改性）</w:t>
            </w:r>
          </w:p>
        </w:tc>
      </w:tr>
      <w:tr w14:paraId="5CFCC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2D2135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Step 5</w:t>
            </w:r>
          </w:p>
        </w:tc>
        <w:tc>
          <w:tcPr>
            <w:tcW w:w="74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E72427C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加入矿粉</w:t>
            </w:r>
          </w:p>
        </w:tc>
      </w:tr>
      <w:tr w14:paraId="071B0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4649CD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Step 6</w:t>
            </w:r>
          </w:p>
        </w:tc>
        <w:tc>
          <w:tcPr>
            <w:tcW w:w="74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B74AEE1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湿拌 40~50 秒，总拌和时间 55~90 秒</w:t>
            </w:r>
          </w:p>
        </w:tc>
      </w:tr>
    </w:tbl>
    <w:p w14:paraId="3F0F1C30">
      <w:pPr>
        <w:pStyle w:val="4"/>
        <w:spacing w:before="200" w:after="12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6.3 计量与标定</w:t>
      </w:r>
    </w:p>
    <w:p w14:paraId="089BE101">
      <w:pPr>
        <w:pStyle w:val="18"/>
        <w:numPr>
          <w:ilvl w:val="0"/>
          <w:numId w:val="4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液体型：质量流量计或齿轮泵计量，精度 ±0.5%</w:t>
      </w:r>
    </w:p>
    <w:p w14:paraId="0110A605">
      <w:pPr>
        <w:pStyle w:val="18"/>
        <w:numPr>
          <w:ilvl w:val="0"/>
          <w:numId w:val="4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颗粒/膏体型：按袋/桶计量直投拌缸</w:t>
      </w:r>
    </w:p>
    <w:p w14:paraId="32A8AC24">
      <w:pPr>
        <w:pStyle w:val="18"/>
        <w:numPr>
          <w:ilvl w:val="0"/>
          <w:numId w:val="4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每班开工前标定一次泵流量或称量校准</w:t>
      </w:r>
    </w:p>
    <w:p w14:paraId="2626F210">
      <w:pPr>
        <w:pStyle w:val="18"/>
        <w:numPr>
          <w:ilvl w:val="0"/>
          <w:numId w:val="4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RAP 含水率 &gt;3% 时须延长烘干时间</w:t>
      </w:r>
    </w:p>
    <w:p w14:paraId="0681609B">
      <w:pPr>
        <w:pStyle w:val="18"/>
        <w:numPr>
          <w:ilvl w:val="0"/>
          <w:numId w:val="4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每 5000 吨 RAP 复测旧沥青指标，动态调整掺量</w:t>
      </w:r>
    </w:p>
    <w:p w14:paraId="697636C0">
      <w:pPr>
        <w:pStyle w:val="2"/>
        <w:spacing w:before="360" w:after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七、就地热（温）再生添加工艺</w:t>
      </w:r>
    </w:p>
    <w:p w14:paraId="611E28B3">
      <w:pPr>
        <w:pStyle w:val="4"/>
        <w:spacing w:before="200" w:after="12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7.1 就地温再生（推荐）</w:t>
      </w:r>
    </w:p>
    <w:p w14:paraId="44604D99">
      <w:pPr>
        <w:pStyle w:val="18"/>
        <w:numPr>
          <w:ilvl w:val="0"/>
          <w:numId w:val="5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加热机组将旧路面加热至 100~140℃（温再生窗口）</w:t>
      </w:r>
    </w:p>
    <w:p w14:paraId="4C0F5DB2">
      <w:pPr>
        <w:pStyle w:val="18"/>
        <w:numPr>
          <w:ilvl w:val="0"/>
          <w:numId w:val="5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四合一再生剂预热至规定温度（液体型 60~100℃）</w:t>
      </w:r>
    </w:p>
    <w:p w14:paraId="718E75D6">
      <w:pPr>
        <w:pStyle w:val="18"/>
        <w:numPr>
          <w:ilvl w:val="0"/>
          <w:numId w:val="5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再生剂通过机组喷洒系统均匀喷洒于加热后的旧路面</w:t>
      </w:r>
    </w:p>
    <w:p w14:paraId="572EE8B5">
      <w:pPr>
        <w:pStyle w:val="18"/>
        <w:numPr>
          <w:ilvl w:val="0"/>
          <w:numId w:val="5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耙松、复拌、补充新料（如需要）、摊铺、碾压</w:t>
      </w:r>
    </w:p>
    <w:p w14:paraId="3F44118D">
      <w:pPr>
        <w:pStyle w:val="18"/>
        <w:numPr>
          <w:ilvl w:val="0"/>
          <w:numId w:val="5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净味功能在加热阶段即开始发挥，减少现场烟气</w:t>
      </w:r>
    </w:p>
    <w:p w14:paraId="6F73316D">
      <w:pPr>
        <w:pStyle w:val="4"/>
        <w:spacing w:before="200" w:after="12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7.2 就地热再生</w:t>
      </w:r>
    </w:p>
    <w:p w14:paraId="6FB10072">
      <w:pPr>
        <w:pStyle w:val="18"/>
        <w:numPr>
          <w:ilvl w:val="0"/>
          <w:numId w:val="6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加热机组将旧路面加热至 120~160℃</w:t>
      </w:r>
    </w:p>
    <w:p w14:paraId="24174F4D">
      <w:pPr>
        <w:pStyle w:val="18"/>
        <w:numPr>
          <w:ilvl w:val="0"/>
          <w:numId w:val="6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再生剂预热至 80~120℃，注入机组喷洒系统</w:t>
      </w:r>
    </w:p>
    <w:p w14:paraId="6EFF596A">
      <w:pPr>
        <w:pStyle w:val="18"/>
        <w:numPr>
          <w:ilvl w:val="0"/>
          <w:numId w:val="6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翻松、复拌、摊铺、碾压（同常规就地热再生）</w:t>
      </w:r>
    </w:p>
    <w:p w14:paraId="6E1809CD">
      <w:pPr>
        <w:pStyle w:val="2"/>
        <w:spacing w:before="360" w:after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八、施工温度控制</w:t>
      </w:r>
    </w:p>
    <w:p w14:paraId="26D8C7E2">
      <w:pPr>
        <w:pStyle w:val="4"/>
        <w:spacing w:before="200" w:after="12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8.1 厂拌四合一再生温度</w:t>
      </w:r>
    </w:p>
    <w:tbl>
      <w:tblPr>
        <w:tblStyle w:val="13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600"/>
        <w:gridCol w:w="2000"/>
        <w:gridCol w:w="2000"/>
        <w:gridCol w:w="2426"/>
      </w:tblGrid>
      <w:tr w14:paraId="64AD2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7C0A8A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控制环节</w:t>
            </w:r>
          </w:p>
        </w:tc>
        <w:tc>
          <w:tcPr>
            <w:tcW w:w="2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2228D7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四合一再生（℃）</w:t>
            </w:r>
          </w:p>
        </w:tc>
        <w:tc>
          <w:tcPr>
            <w:tcW w:w="2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EAE6E4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传统热再生（℃）</w:t>
            </w:r>
          </w:p>
        </w:tc>
        <w:tc>
          <w:tcPr>
            <w:tcW w:w="24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3ED63E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降温</w:t>
            </w:r>
          </w:p>
        </w:tc>
      </w:tr>
      <w:tr w14:paraId="3EDA9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B2C3AD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RAP 加热</w:t>
            </w:r>
          </w:p>
        </w:tc>
        <w:tc>
          <w:tcPr>
            <w:tcW w:w="2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680A25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100~130</w:t>
            </w:r>
          </w:p>
        </w:tc>
        <w:tc>
          <w:tcPr>
            <w:tcW w:w="2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EB9361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110~140</w:t>
            </w:r>
          </w:p>
        </w:tc>
        <w:tc>
          <w:tcPr>
            <w:tcW w:w="24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D494F9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↓10~20</w:t>
            </w:r>
          </w:p>
        </w:tc>
      </w:tr>
      <w:tr w14:paraId="00381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7DC483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新沥青加热</w:t>
            </w:r>
          </w:p>
        </w:tc>
        <w:tc>
          <w:tcPr>
            <w:tcW w:w="2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985AB0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130~155</w:t>
            </w:r>
          </w:p>
        </w:tc>
        <w:tc>
          <w:tcPr>
            <w:tcW w:w="2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5A8963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155~165</w:t>
            </w:r>
          </w:p>
        </w:tc>
        <w:tc>
          <w:tcPr>
            <w:tcW w:w="24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F93BAA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↓15~25</w:t>
            </w:r>
          </w:p>
        </w:tc>
      </w:tr>
      <w:tr w14:paraId="3F7C1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105DBB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新集料加热</w:t>
            </w:r>
          </w:p>
        </w:tc>
        <w:tc>
          <w:tcPr>
            <w:tcW w:w="2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8E65B2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155~175</w:t>
            </w:r>
          </w:p>
        </w:tc>
        <w:tc>
          <w:tcPr>
            <w:tcW w:w="2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5BAAD0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170~180</w:t>
            </w:r>
          </w:p>
        </w:tc>
        <w:tc>
          <w:tcPr>
            <w:tcW w:w="24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93DDE4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↓10~20</w:t>
            </w:r>
          </w:p>
        </w:tc>
      </w:tr>
      <w:tr w14:paraId="5069F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7107FF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拌和温度</w:t>
            </w:r>
          </w:p>
        </w:tc>
        <w:tc>
          <w:tcPr>
            <w:tcW w:w="2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CFC276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120~150</w:t>
            </w:r>
          </w:p>
        </w:tc>
        <w:tc>
          <w:tcPr>
            <w:tcW w:w="2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5029B9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150~165</w:t>
            </w:r>
          </w:p>
        </w:tc>
        <w:tc>
          <w:tcPr>
            <w:tcW w:w="24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899910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↓20~40</w:t>
            </w:r>
          </w:p>
        </w:tc>
      </w:tr>
      <w:tr w14:paraId="64C19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5B1D5A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出料温度</w:t>
            </w:r>
          </w:p>
        </w:tc>
        <w:tc>
          <w:tcPr>
            <w:tcW w:w="2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F195F6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115~150</w:t>
            </w:r>
          </w:p>
        </w:tc>
        <w:tc>
          <w:tcPr>
            <w:tcW w:w="2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9F5135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140~165</w:t>
            </w:r>
          </w:p>
        </w:tc>
        <w:tc>
          <w:tcPr>
            <w:tcW w:w="24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9A4F3E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↓20~35</w:t>
            </w:r>
          </w:p>
        </w:tc>
      </w:tr>
      <w:tr w14:paraId="2F193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A6FE0D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碾压温度</w:t>
            </w:r>
          </w:p>
        </w:tc>
        <w:tc>
          <w:tcPr>
            <w:tcW w:w="2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790218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100~130</w:t>
            </w:r>
          </w:p>
        </w:tc>
        <w:tc>
          <w:tcPr>
            <w:tcW w:w="2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00BEEC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120~150</w:t>
            </w:r>
          </w:p>
        </w:tc>
        <w:tc>
          <w:tcPr>
            <w:tcW w:w="24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57BFC4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↓20~30</w:t>
            </w:r>
          </w:p>
        </w:tc>
      </w:tr>
    </w:tbl>
    <w:p w14:paraId="13FABFFB">
      <w:pPr>
        <w:spacing w:after="60"/>
        <w:rPr>
          <w:rFonts w:hint="eastAsia" w:ascii="宋体" w:hAnsi="宋体" w:eastAsia="宋体" w:cs="宋体"/>
          <w:color w:val="auto"/>
        </w:rPr>
      </w:pPr>
    </w:p>
    <w:p w14:paraId="1C74D48A">
      <w:pPr>
        <w:pStyle w:val="4"/>
        <w:spacing w:before="200" w:after="12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8.2 超薄罩面（1~2 cm）专用温度</w:t>
      </w:r>
    </w:p>
    <w:p w14:paraId="00444C47">
      <w:pPr>
        <w:pStyle w:val="18"/>
        <w:numPr>
          <w:ilvl w:val="0"/>
          <w:numId w:val="7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拌和温度：135~145℃（比普通再生低 10~15℃）</w:t>
      </w:r>
    </w:p>
    <w:p w14:paraId="52970500">
      <w:pPr>
        <w:pStyle w:val="18"/>
        <w:numPr>
          <w:ilvl w:val="0"/>
          <w:numId w:val="7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出料温度：130~140℃</w:t>
      </w:r>
    </w:p>
    <w:p w14:paraId="65CFDEE9">
      <w:pPr>
        <w:pStyle w:val="18"/>
        <w:numPr>
          <w:ilvl w:val="0"/>
          <w:numId w:val="7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摊铺温度：≥125℃</w:t>
      </w:r>
    </w:p>
    <w:p w14:paraId="6BFA8FE5">
      <w:pPr>
        <w:pStyle w:val="18"/>
        <w:numPr>
          <w:ilvl w:val="0"/>
          <w:numId w:val="7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初压温度：110~120℃（钢轮紧跟）</w:t>
      </w:r>
    </w:p>
    <w:p w14:paraId="4F07BB2A">
      <w:pPr>
        <w:pStyle w:val="18"/>
        <w:numPr>
          <w:ilvl w:val="0"/>
          <w:numId w:val="7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复压温度：90~110℃（胶轮）</w:t>
      </w:r>
    </w:p>
    <w:p w14:paraId="25903958">
      <w:pPr>
        <w:pStyle w:val="18"/>
        <w:numPr>
          <w:ilvl w:val="0"/>
          <w:numId w:val="7"/>
        </w:numPr>
        <w:spacing w:after="80" w:line="340" w:lineRule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终压温度：≥80℃</w:t>
      </w:r>
    </w:p>
    <w:p w14:paraId="4214344D">
      <w:pPr>
        <w:spacing w:after="60"/>
        <w:rPr>
          <w:rFonts w:hint="eastAsia" w:ascii="宋体" w:hAnsi="宋体" w:eastAsia="宋体" w:cs="宋体"/>
          <w:color w:val="auto"/>
        </w:rPr>
      </w:pPr>
    </w:p>
    <w:p w14:paraId="7C438A1E">
      <w:pPr>
        <w:spacing w:after="80" w:line="340" w:lineRule="auto"/>
        <w:ind w:left="360" w:hanging="36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 xml:space="preserve">⚠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严禁 RAP 火焰直烘！即使温拌温度较低，火焰直烘仍会导致局部过热、旧沥青二次老化。</w:t>
      </w:r>
    </w:p>
    <w:p w14:paraId="7F316EB4">
      <w:pPr>
        <w:spacing w:after="80" w:line="340" w:lineRule="auto"/>
        <w:ind w:left="360" w:hanging="36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 xml:space="preserve">⚠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出料温度超 195℃ 必须废弃。</w:t>
      </w:r>
    </w:p>
    <w:p w14:paraId="20F6A12D">
      <w:pPr>
        <w:pStyle w:val="2"/>
        <w:spacing w:before="360" w:after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九、质量检验与验收标准</w:t>
      </w:r>
    </w:p>
    <w:p w14:paraId="6741725F">
      <w:pPr>
        <w:pStyle w:val="4"/>
        <w:spacing w:before="200" w:after="12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9.1 来料检验</w:t>
      </w:r>
    </w:p>
    <w:tbl>
      <w:tblPr>
        <w:tblStyle w:val="13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00"/>
        <w:gridCol w:w="2000"/>
        <w:gridCol w:w="2200"/>
        <w:gridCol w:w="2426"/>
      </w:tblGrid>
      <w:tr w14:paraId="49C77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DB6EEC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检验项目</w:t>
            </w:r>
          </w:p>
        </w:tc>
        <w:tc>
          <w:tcPr>
            <w:tcW w:w="2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FD9801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频率</w:t>
            </w:r>
          </w:p>
        </w:tc>
        <w:tc>
          <w:tcPr>
            <w:tcW w:w="22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1C903F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标准</w:t>
            </w:r>
          </w:p>
        </w:tc>
        <w:tc>
          <w:tcPr>
            <w:tcW w:w="24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2E9AD1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方法</w:t>
            </w:r>
          </w:p>
        </w:tc>
      </w:tr>
      <w:tr w14:paraId="15D1A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65EBCB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黏度（60℃）</w:t>
            </w:r>
          </w:p>
        </w:tc>
        <w:tc>
          <w:tcPr>
            <w:tcW w:w="2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EC893F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每批次</w:t>
            </w:r>
          </w:p>
        </w:tc>
        <w:tc>
          <w:tcPr>
            <w:tcW w:w="22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F80D65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符合型号范围</w:t>
            </w:r>
          </w:p>
        </w:tc>
        <w:tc>
          <w:tcPr>
            <w:tcW w:w="24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897773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GB/T 265</w:t>
            </w:r>
          </w:p>
        </w:tc>
      </w:tr>
      <w:tr w14:paraId="5D7E9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E54772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闪点</w:t>
            </w:r>
          </w:p>
        </w:tc>
        <w:tc>
          <w:tcPr>
            <w:tcW w:w="2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B444C5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每批次</w:t>
            </w:r>
          </w:p>
        </w:tc>
        <w:tc>
          <w:tcPr>
            <w:tcW w:w="22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FFDA7A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≥ 250℃</w:t>
            </w:r>
          </w:p>
        </w:tc>
        <w:tc>
          <w:tcPr>
            <w:tcW w:w="24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904ABA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GB/T 267</w:t>
            </w:r>
          </w:p>
        </w:tc>
      </w:tr>
      <w:tr w14:paraId="6CCCA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43AD67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密度</w:t>
            </w:r>
          </w:p>
        </w:tc>
        <w:tc>
          <w:tcPr>
            <w:tcW w:w="2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77D15C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每批次</w:t>
            </w:r>
          </w:p>
        </w:tc>
        <w:tc>
          <w:tcPr>
            <w:tcW w:w="22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1CF6E4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0.90~1.10</w:t>
            </w:r>
          </w:p>
        </w:tc>
        <w:tc>
          <w:tcPr>
            <w:tcW w:w="24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3D71B1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GB/T 1884</w:t>
            </w:r>
          </w:p>
        </w:tc>
      </w:tr>
      <w:tr w14:paraId="13B97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FEBFCC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针入度恢复率</w:t>
            </w:r>
          </w:p>
        </w:tc>
        <w:tc>
          <w:tcPr>
            <w:tcW w:w="2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040F3B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每批次</w:t>
            </w:r>
          </w:p>
        </w:tc>
        <w:tc>
          <w:tcPr>
            <w:tcW w:w="22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39CFAB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≥ 85%</w:t>
            </w:r>
          </w:p>
        </w:tc>
        <w:tc>
          <w:tcPr>
            <w:tcW w:w="24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501A33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JTG E20</w:t>
            </w:r>
          </w:p>
        </w:tc>
      </w:tr>
      <w:tr w14:paraId="2E094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81E6A3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TFOT 后粘度比</w:t>
            </w:r>
          </w:p>
        </w:tc>
        <w:tc>
          <w:tcPr>
            <w:tcW w:w="2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ECBD0B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每月一次</w:t>
            </w:r>
          </w:p>
        </w:tc>
        <w:tc>
          <w:tcPr>
            <w:tcW w:w="22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243F95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≤ 1.15</w:t>
            </w:r>
          </w:p>
        </w:tc>
        <w:tc>
          <w:tcPr>
            <w:tcW w:w="24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7C08E6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JTG E20</w:t>
            </w:r>
          </w:p>
        </w:tc>
      </w:tr>
      <w:tr w14:paraId="21C6C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FE6DAE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净味效果</w:t>
            </w:r>
          </w:p>
        </w:tc>
        <w:tc>
          <w:tcPr>
            <w:tcW w:w="2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F99A7E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每批次</w:t>
            </w:r>
          </w:p>
        </w:tc>
        <w:tc>
          <w:tcPr>
            <w:tcW w:w="22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481570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VOCs ≤0.5 g/kg</w:t>
            </w:r>
          </w:p>
        </w:tc>
        <w:tc>
          <w:tcPr>
            <w:tcW w:w="24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138C35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HJ 734</w:t>
            </w:r>
          </w:p>
        </w:tc>
      </w:tr>
    </w:tbl>
    <w:p w14:paraId="787B6491">
      <w:pPr>
        <w:spacing w:after="60"/>
        <w:rPr>
          <w:rFonts w:hint="eastAsia" w:ascii="宋体" w:hAnsi="宋体" w:eastAsia="宋体" w:cs="宋体"/>
          <w:color w:val="auto"/>
        </w:rPr>
      </w:pPr>
    </w:p>
    <w:p w14:paraId="0381DD48">
      <w:pPr>
        <w:pStyle w:val="4"/>
        <w:spacing w:before="200" w:after="12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9.2 生产过程检验</w:t>
      </w:r>
    </w:p>
    <w:p w14:paraId="0069F2EE">
      <w:pPr>
        <w:pStyle w:val="18"/>
        <w:numPr>
          <w:ilvl w:val="0"/>
          <w:numId w:val="8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每班检测再生剂罐温、泵流量、RAP 含水率（≤3%）</w:t>
      </w:r>
    </w:p>
    <w:p w14:paraId="219711D5">
      <w:pPr>
        <w:pStyle w:val="18"/>
        <w:numPr>
          <w:ilvl w:val="0"/>
          <w:numId w:val="8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每日抽提再生混合料胶结料针入度，对比设计值 ±5 以内合格</w:t>
      </w:r>
    </w:p>
    <w:p w14:paraId="0C2E732E">
      <w:pPr>
        <w:pStyle w:val="18"/>
        <w:numPr>
          <w:ilvl w:val="0"/>
          <w:numId w:val="8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每 5000 吨 RAP 复测旧沥青指标，动态调整掺量</w:t>
      </w:r>
    </w:p>
    <w:p w14:paraId="29D38837">
      <w:pPr>
        <w:pStyle w:val="18"/>
        <w:numPr>
          <w:ilvl w:val="0"/>
          <w:numId w:val="8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出料温度连续监测，超温废弃</w:t>
      </w:r>
    </w:p>
    <w:p w14:paraId="126D8D32">
      <w:pPr>
        <w:pStyle w:val="18"/>
        <w:numPr>
          <w:ilvl w:val="0"/>
          <w:numId w:val="8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观察外观：无花白料、无"乌脆坨"、裹覆均匀、无异味</w:t>
      </w:r>
    </w:p>
    <w:p w14:paraId="71B8AACC">
      <w:pPr>
        <w:pStyle w:val="4"/>
        <w:spacing w:before="200" w:after="12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9.3 成品混合料验收指标</w:t>
      </w:r>
    </w:p>
    <w:tbl>
      <w:tblPr>
        <w:tblStyle w:val="13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00"/>
        <w:gridCol w:w="3000"/>
        <w:gridCol w:w="3026"/>
      </w:tblGrid>
      <w:tr w14:paraId="1D418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268291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检测项目</w:t>
            </w:r>
          </w:p>
        </w:tc>
        <w:tc>
          <w:tcPr>
            <w:tcW w:w="3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6D8057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技术指标</w:t>
            </w:r>
          </w:p>
        </w:tc>
        <w:tc>
          <w:tcPr>
            <w:tcW w:w="30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1AAD12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试验方法</w:t>
            </w:r>
          </w:p>
        </w:tc>
      </w:tr>
      <w:tr w14:paraId="69145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D4BE25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马歇尔稳定度 kN</w:t>
            </w:r>
          </w:p>
        </w:tc>
        <w:tc>
          <w:tcPr>
            <w:tcW w:w="3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23BC83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≥ 8.0（改性型 ≥10）</w:t>
            </w:r>
          </w:p>
        </w:tc>
        <w:tc>
          <w:tcPr>
            <w:tcW w:w="30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026927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JTG E20 T0709</w:t>
            </w:r>
          </w:p>
        </w:tc>
      </w:tr>
      <w:tr w14:paraId="44A89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DA4F5D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流值 mm</w:t>
            </w:r>
          </w:p>
        </w:tc>
        <w:tc>
          <w:tcPr>
            <w:tcW w:w="3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6DC511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2~4</w:t>
            </w:r>
          </w:p>
        </w:tc>
        <w:tc>
          <w:tcPr>
            <w:tcW w:w="30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D29F75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JTG E20 T0709</w:t>
            </w:r>
          </w:p>
        </w:tc>
      </w:tr>
      <w:tr w14:paraId="74F51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12DAC4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残留稳定度 %</w:t>
            </w:r>
          </w:p>
        </w:tc>
        <w:tc>
          <w:tcPr>
            <w:tcW w:w="3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A74546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≥ 80（改性型 ≥85）</w:t>
            </w:r>
          </w:p>
        </w:tc>
        <w:tc>
          <w:tcPr>
            <w:tcW w:w="30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E95FC2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JTG E20 T0709</w:t>
            </w:r>
          </w:p>
        </w:tc>
      </w:tr>
      <w:tr w14:paraId="3C600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52C145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冻融劈裂强度比 TSR %</w:t>
            </w:r>
          </w:p>
        </w:tc>
        <w:tc>
          <w:tcPr>
            <w:tcW w:w="3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153E06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≥ 80（改性型 ≥85）</w:t>
            </w:r>
          </w:p>
        </w:tc>
        <w:tc>
          <w:tcPr>
            <w:tcW w:w="30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909214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JTG E20 T0729</w:t>
            </w:r>
          </w:p>
        </w:tc>
      </w:tr>
      <w:tr w14:paraId="732C2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92F2DA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动稳定度 次/mm</w:t>
            </w:r>
          </w:p>
        </w:tc>
        <w:tc>
          <w:tcPr>
            <w:tcW w:w="3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EFFD39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≥ 3500（改性型 ≥5000）</w:t>
            </w:r>
          </w:p>
        </w:tc>
        <w:tc>
          <w:tcPr>
            <w:tcW w:w="30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3E5710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JTG E20 T0719</w:t>
            </w:r>
          </w:p>
        </w:tc>
      </w:tr>
      <w:tr w14:paraId="05F1A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998521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再生沥青针入度</w:t>
            </w:r>
          </w:p>
        </w:tc>
        <w:tc>
          <w:tcPr>
            <w:tcW w:w="3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56157B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目标标号±15%</w:t>
            </w:r>
          </w:p>
        </w:tc>
        <w:tc>
          <w:tcPr>
            <w:tcW w:w="30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1911F6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JTG E20 T0604</w:t>
            </w:r>
          </w:p>
        </w:tc>
      </w:tr>
      <w:tr w14:paraId="78A30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DB4D55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15℃弯拉应变 με</w:t>
            </w:r>
          </w:p>
        </w:tc>
        <w:tc>
          <w:tcPr>
            <w:tcW w:w="30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EE7CF8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≥ 2500（改性型 ≥3000）</w:t>
            </w:r>
          </w:p>
        </w:tc>
        <w:tc>
          <w:tcPr>
            <w:tcW w:w="3026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EB2B99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JTG E20 T0715</w:t>
            </w:r>
          </w:p>
        </w:tc>
      </w:tr>
    </w:tbl>
    <w:p w14:paraId="71D4AC71">
      <w:pPr>
        <w:pStyle w:val="2"/>
        <w:spacing w:before="360" w:after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十、安全操作与防护措施</w:t>
      </w:r>
    </w:p>
    <w:p w14:paraId="4297D2CD">
      <w:pPr>
        <w:pStyle w:val="4"/>
        <w:spacing w:before="200" w:after="12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10.1 个人防护装备（PPE）</w:t>
      </w:r>
    </w:p>
    <w:p w14:paraId="6F4BE01C">
      <w:pPr>
        <w:pStyle w:val="18"/>
        <w:numPr>
          <w:ilvl w:val="0"/>
          <w:numId w:val="9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耐油耐热防化手套</w:t>
      </w:r>
    </w:p>
    <w:p w14:paraId="225CFD72">
      <w:pPr>
        <w:pStyle w:val="18"/>
        <w:numPr>
          <w:ilvl w:val="0"/>
          <w:numId w:val="9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防化护目镜或全面罩</w:t>
      </w:r>
    </w:p>
    <w:p w14:paraId="5D7741CB">
      <w:pPr>
        <w:pStyle w:val="18"/>
        <w:numPr>
          <w:ilvl w:val="0"/>
          <w:numId w:val="9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防毒防尘口罩（有机蒸气滤盒）</w:t>
      </w:r>
    </w:p>
    <w:p w14:paraId="24842990">
      <w:pPr>
        <w:pStyle w:val="18"/>
        <w:numPr>
          <w:ilvl w:val="0"/>
          <w:numId w:val="9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耐油防化工作服 + 反光背心</w:t>
      </w:r>
    </w:p>
    <w:p w14:paraId="634FD934">
      <w:pPr>
        <w:pStyle w:val="18"/>
        <w:numPr>
          <w:ilvl w:val="0"/>
          <w:numId w:val="9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防砸防穿刺安全鞋</w:t>
      </w:r>
    </w:p>
    <w:p w14:paraId="6AC9AA69">
      <w:pPr>
        <w:pStyle w:val="4"/>
        <w:spacing w:before="200" w:after="12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10.2 操作安全</w:t>
      </w:r>
    </w:p>
    <w:p w14:paraId="4998748F">
      <w:pPr>
        <w:pStyle w:val="18"/>
        <w:numPr>
          <w:ilvl w:val="0"/>
          <w:numId w:val="10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加热系统使用防爆电机，设备可靠接地</w:t>
      </w:r>
    </w:p>
    <w:p w14:paraId="4F0C70A7">
      <w:pPr>
        <w:pStyle w:val="18"/>
        <w:numPr>
          <w:ilvl w:val="0"/>
          <w:numId w:val="10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储罐设温度监控和溢流保护，液体型预热 ≤135℃</w:t>
      </w:r>
    </w:p>
    <w:p w14:paraId="6EE2F4A9">
      <w:pPr>
        <w:pStyle w:val="18"/>
        <w:numPr>
          <w:ilvl w:val="0"/>
          <w:numId w:val="10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严禁在加热区使用明火或吸烟</w:t>
      </w:r>
    </w:p>
    <w:p w14:paraId="7DDC42A4">
      <w:pPr>
        <w:pStyle w:val="18"/>
        <w:numPr>
          <w:ilvl w:val="0"/>
          <w:numId w:val="10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接触皮肤后先用煤油/松节油擦净，再用肥皂水清洗</w:t>
      </w:r>
    </w:p>
    <w:p w14:paraId="2A1DF191">
      <w:pPr>
        <w:pStyle w:val="18"/>
        <w:numPr>
          <w:ilvl w:val="0"/>
          <w:numId w:val="10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入眼后立即用流动清水冲洗 15 分钟并就医</w:t>
      </w:r>
    </w:p>
    <w:p w14:paraId="484C7F48">
      <w:pPr>
        <w:pStyle w:val="18"/>
        <w:numPr>
          <w:ilvl w:val="0"/>
          <w:numId w:val="10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作业区强制通风，密闭空间须佩戴呼吸防护</w:t>
      </w:r>
    </w:p>
    <w:p w14:paraId="25C6FF7F">
      <w:pPr>
        <w:pStyle w:val="18"/>
        <w:numPr>
          <w:ilvl w:val="0"/>
          <w:numId w:val="10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生物基型虽闪点高（≥250℃），仍须按易燃液体管理</w:t>
      </w:r>
    </w:p>
    <w:p w14:paraId="0890B55D">
      <w:pPr>
        <w:pStyle w:val="4"/>
        <w:spacing w:before="200" w:after="12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10.3 消防要求</w:t>
      </w:r>
    </w:p>
    <w:p w14:paraId="0E4BF4B8">
      <w:pPr>
        <w:pStyle w:val="18"/>
        <w:numPr>
          <w:ilvl w:val="0"/>
          <w:numId w:val="11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配备泡沫、干粉、CO₂ 灭火器（禁用直流水柱）</w:t>
      </w:r>
    </w:p>
    <w:p w14:paraId="44BD456C">
      <w:pPr>
        <w:pStyle w:val="18"/>
        <w:numPr>
          <w:ilvl w:val="0"/>
          <w:numId w:val="11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储罐区设防火堤和泄漏收集池</w:t>
      </w:r>
    </w:p>
    <w:p w14:paraId="60C94DC9">
      <w:pPr>
        <w:pStyle w:val="18"/>
        <w:numPr>
          <w:ilvl w:val="0"/>
          <w:numId w:val="11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消防通道畅通，标识清晰</w:t>
      </w:r>
    </w:p>
    <w:p w14:paraId="17D98A10">
      <w:pPr>
        <w:pStyle w:val="18"/>
        <w:numPr>
          <w:ilvl w:val="0"/>
          <w:numId w:val="11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定期消防演练，每年不少于 2 次</w:t>
      </w:r>
    </w:p>
    <w:p w14:paraId="6BAC1D83">
      <w:pPr>
        <w:pStyle w:val="2"/>
        <w:spacing w:before="360" w:after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十一、储存与运输要求</w:t>
      </w:r>
    </w:p>
    <w:p w14:paraId="2114700D">
      <w:pPr>
        <w:pStyle w:val="4"/>
        <w:spacing w:before="200" w:after="12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11.1 储存条件</w:t>
      </w:r>
    </w:p>
    <w:p w14:paraId="4F8A2DDE">
      <w:pPr>
        <w:pStyle w:val="18"/>
        <w:numPr>
          <w:ilvl w:val="0"/>
          <w:numId w:val="12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库房阴凉通风、避雨防晒，远离热源和明火</w:t>
      </w:r>
    </w:p>
    <w:p w14:paraId="62F879C4">
      <w:pPr>
        <w:pStyle w:val="18"/>
        <w:numPr>
          <w:ilvl w:val="0"/>
          <w:numId w:val="12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液体型储存温度 ≤80℃，膏体 ≤60℃，桶装 ≤3 层</w:t>
      </w:r>
    </w:p>
    <w:p w14:paraId="26706CAD">
      <w:pPr>
        <w:pStyle w:val="18"/>
        <w:numPr>
          <w:ilvl w:val="0"/>
          <w:numId w:val="12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桶口朝上，防止泄漏</w:t>
      </w:r>
    </w:p>
    <w:p w14:paraId="6F75A968">
      <w:pPr>
        <w:pStyle w:val="18"/>
        <w:numPr>
          <w:ilvl w:val="0"/>
          <w:numId w:val="12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保质期 2 年（生物基型可达 3 年），超期须复测</w:t>
      </w:r>
    </w:p>
    <w:p w14:paraId="541A1CD8">
      <w:pPr>
        <w:pStyle w:val="18"/>
        <w:numPr>
          <w:ilvl w:val="0"/>
          <w:numId w:val="12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分层产品须搅拌均匀后再使用</w:t>
      </w:r>
    </w:p>
    <w:p w14:paraId="64256F10">
      <w:pPr>
        <w:pStyle w:val="18"/>
        <w:numPr>
          <w:ilvl w:val="0"/>
          <w:numId w:val="12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禁与强酸、强碱、氧化剂混存</w:t>
      </w:r>
    </w:p>
    <w:p w14:paraId="32A39DF3">
      <w:pPr>
        <w:pStyle w:val="4"/>
        <w:spacing w:before="200" w:after="12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11.2 运输要求</w:t>
      </w:r>
    </w:p>
    <w:p w14:paraId="3AE05A54">
      <w:pPr>
        <w:pStyle w:val="18"/>
        <w:numPr>
          <w:ilvl w:val="0"/>
          <w:numId w:val="13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闪点 ≥250℃，属非危化品，按普通化学品运输</w:t>
      </w:r>
    </w:p>
    <w:p w14:paraId="2AF1CED3">
      <w:pPr>
        <w:pStyle w:val="18"/>
        <w:numPr>
          <w:ilvl w:val="0"/>
          <w:numId w:val="13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运输车辆配备防泄漏托盘和灭火器材</w:t>
      </w:r>
    </w:p>
    <w:p w14:paraId="3AD89009">
      <w:pPr>
        <w:pStyle w:val="18"/>
        <w:numPr>
          <w:ilvl w:val="0"/>
          <w:numId w:val="13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桶装堆叠牢固，防止倾倒</w:t>
      </w:r>
    </w:p>
    <w:p w14:paraId="65DB1227">
      <w:pPr>
        <w:pStyle w:val="18"/>
        <w:numPr>
          <w:ilvl w:val="0"/>
          <w:numId w:val="13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夏季高温时段避免阳光暴晒运输</w:t>
      </w:r>
    </w:p>
    <w:p w14:paraId="4DA22E60">
      <w:pPr>
        <w:pStyle w:val="18"/>
        <w:numPr>
          <w:ilvl w:val="0"/>
          <w:numId w:val="13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废桶交由有资质单位回收处理</w:t>
      </w:r>
    </w:p>
    <w:p w14:paraId="1FC706A9">
      <w:pPr>
        <w:pStyle w:val="2"/>
        <w:spacing w:before="360" w:after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十二、环保与碳排放</w:t>
      </w:r>
    </w:p>
    <w:p w14:paraId="5B2173B4">
      <w:pPr>
        <w:spacing w:after="120" w:line="360" w:lineRule="auto"/>
        <w:ind w:firstLine="48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四合一再生剂的核心环保价值（量化）：</w:t>
      </w:r>
    </w:p>
    <w:p w14:paraId="0CF5374E">
      <w:pPr>
        <w:pStyle w:val="18"/>
        <w:numPr>
          <w:ilvl w:val="0"/>
          <w:numId w:val="14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沥青烟气（CO、H₂S、沥青雾、VOCs）减排 40%~60%</w:t>
      </w:r>
    </w:p>
    <w:p w14:paraId="3FBD8B7B">
      <w:pPr>
        <w:pStyle w:val="18"/>
        <w:numPr>
          <w:ilvl w:val="0"/>
          <w:numId w:val="14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CO₂ 排放降低 30%~50%（每吨混合料减 2.4~4.5 kg CO₂）</w:t>
      </w:r>
    </w:p>
    <w:p w14:paraId="7C491FE7">
      <w:pPr>
        <w:pStyle w:val="18"/>
        <w:numPr>
          <w:ilvl w:val="0"/>
          <w:numId w:val="14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燃料消耗减少 8~15 kg/吨混合料</w:t>
      </w:r>
    </w:p>
    <w:p w14:paraId="159932E1">
      <w:pPr>
        <w:pStyle w:val="18"/>
        <w:numPr>
          <w:ilvl w:val="0"/>
          <w:numId w:val="14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RAP 高掺量（50%~80%）减少新石料开采和废弃</w:t>
      </w:r>
    </w:p>
    <w:p w14:paraId="425F4B19">
      <w:pPr>
        <w:pStyle w:val="18"/>
        <w:numPr>
          <w:ilvl w:val="0"/>
          <w:numId w:val="14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生物基型生物质含量 ≥99%，原料可再生、可降解</w:t>
      </w:r>
    </w:p>
    <w:p w14:paraId="567A854D">
      <w:pPr>
        <w:pStyle w:val="18"/>
        <w:numPr>
          <w:ilvl w:val="0"/>
          <w:numId w:val="14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符合欧盟 REACH 法规，满足绿色工厂和绿色施工评价标准</w:t>
      </w:r>
    </w:p>
    <w:p w14:paraId="2D1D347F">
      <w:pPr>
        <w:pStyle w:val="18"/>
        <w:numPr>
          <w:ilvl w:val="0"/>
          <w:numId w:val="14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泄漏物料用沙土围堵回收，严禁冲入下水道</w:t>
      </w:r>
    </w:p>
    <w:p w14:paraId="0AF837CB">
      <w:pPr>
        <w:pStyle w:val="18"/>
        <w:numPr>
          <w:ilvl w:val="0"/>
          <w:numId w:val="14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废油、废桶、废滤芯分类收集，交有资质单位处置</w:t>
      </w:r>
    </w:p>
    <w:p w14:paraId="422076F8">
      <w:pPr>
        <w:pStyle w:val="18"/>
        <w:numPr>
          <w:ilvl w:val="0"/>
          <w:numId w:val="14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施工场地设置沉淀池和隔油池，噪声符合 GB 12523</w:t>
      </w:r>
    </w:p>
    <w:p w14:paraId="2E43B107">
      <w:pPr>
        <w:pStyle w:val="2"/>
        <w:spacing w:before="360" w:after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十三、常见故障与排除方法</w:t>
      </w:r>
    </w:p>
    <w:tbl>
      <w:tblPr>
        <w:tblStyle w:val="13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28"/>
        <w:gridCol w:w="3500"/>
        <w:gridCol w:w="3598"/>
      </w:tblGrid>
      <w:tr w14:paraId="4376A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2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6F1B81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  <w:t>故障现象</w:t>
            </w:r>
          </w:p>
        </w:tc>
        <w:tc>
          <w:tcPr>
            <w:tcW w:w="35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CDD4E9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  <w:t>可能原因</w:t>
            </w:r>
          </w:p>
        </w:tc>
        <w:tc>
          <w:tcPr>
            <w:tcW w:w="359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688ED1">
            <w:pPr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  <w:t>排除方法</w:t>
            </w:r>
          </w:p>
        </w:tc>
      </w:tr>
      <w:tr w14:paraId="14AE6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2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AC9ACC6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  <w:t>泵流量不稳</w:t>
            </w:r>
          </w:p>
        </w:tc>
        <w:tc>
          <w:tcPr>
            <w:tcW w:w="35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F0A6E38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黏度过高/管道堵塞/泵磨损</w:t>
            </w:r>
          </w:p>
        </w:tc>
        <w:tc>
          <w:tcPr>
            <w:tcW w:w="359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B20B86B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加热至规定温度，清洗管道，检修泵</w:t>
            </w:r>
          </w:p>
        </w:tc>
      </w:tr>
      <w:tr w14:paraId="0B3A2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2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8F93B1C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  <w:t>喷洒不均匀</w:t>
            </w:r>
          </w:p>
        </w:tc>
        <w:tc>
          <w:tcPr>
            <w:tcW w:w="35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E57154D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喷嘴堵塞/雾化压力不足</w:t>
            </w:r>
          </w:p>
        </w:tc>
        <w:tc>
          <w:tcPr>
            <w:tcW w:w="359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9E179F0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清洗或更换喷嘴，调整气压</w:t>
            </w:r>
          </w:p>
        </w:tc>
      </w:tr>
      <w:tr w14:paraId="78D19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2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4E1D8B7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  <w:t>混合料花白料</w:t>
            </w:r>
          </w:p>
        </w:tc>
        <w:tc>
          <w:tcPr>
            <w:tcW w:w="35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2442032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拌和时间不足/RAP含水高/温度偏低</w:t>
            </w:r>
          </w:p>
        </w:tc>
        <w:tc>
          <w:tcPr>
            <w:tcW w:w="359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FF4145E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延长拌和时间，提高温度，降含水率</w:t>
            </w:r>
          </w:p>
        </w:tc>
      </w:tr>
      <w:tr w14:paraId="5B061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2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F114566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  <w:t>出现"乌脆坨"</w:t>
            </w:r>
          </w:p>
        </w:tc>
        <w:tc>
          <w:tcPr>
            <w:tcW w:w="35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7589CBB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再生渗透不足/老化评估偏低</w:t>
            </w:r>
          </w:p>
        </w:tc>
        <w:tc>
          <w:tcPr>
            <w:tcW w:w="359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F57F351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提高掺量，延长干拌，复测旧沥青</w:t>
            </w:r>
          </w:p>
        </w:tc>
      </w:tr>
      <w:tr w14:paraId="0EA3A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2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9FC7058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  <w:t>再生后沥青偏硬</w:t>
            </w:r>
          </w:p>
        </w:tc>
        <w:tc>
          <w:tcPr>
            <w:tcW w:w="35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9C97FA6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再生组分相对不足</w:t>
            </w:r>
          </w:p>
        </w:tc>
        <w:tc>
          <w:tcPr>
            <w:tcW w:w="359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EBFCE74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增加掺量或换高活性型号</w:t>
            </w:r>
          </w:p>
        </w:tc>
      </w:tr>
      <w:tr w14:paraId="668D9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2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41CDE62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  <w:t>动稳定度不足</w:t>
            </w:r>
          </w:p>
        </w:tc>
        <w:tc>
          <w:tcPr>
            <w:tcW w:w="35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948402D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改性组分分散不均/掺量偏低</w:t>
            </w:r>
          </w:p>
        </w:tc>
        <w:tc>
          <w:tcPr>
            <w:tcW w:w="359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D05427F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延长湿拌时间，检查改性组分活性</w:t>
            </w:r>
          </w:p>
        </w:tc>
      </w:tr>
      <w:tr w14:paraId="25471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2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874CE92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  <w:t>现场仍有气味</w:t>
            </w:r>
          </w:p>
        </w:tc>
        <w:tc>
          <w:tcPr>
            <w:tcW w:w="35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7728B4D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净味剂失效/加热温度过高</w:t>
            </w:r>
          </w:p>
        </w:tc>
        <w:tc>
          <w:tcPr>
            <w:tcW w:w="359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7C11E07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检查产品有效期，降低加热温度</w:t>
            </w:r>
          </w:p>
        </w:tc>
      </w:tr>
      <w:tr w14:paraId="1C393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2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EDF2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BD94CAE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  <w:t>储罐底部沉淀</w:t>
            </w:r>
          </w:p>
        </w:tc>
        <w:tc>
          <w:tcPr>
            <w:tcW w:w="3500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5F15788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长期静置/温度偏低</w:t>
            </w:r>
          </w:p>
        </w:tc>
        <w:tc>
          <w:tcPr>
            <w:tcW w:w="3598" w:type="dxa"/>
            <w:tcBorders>
              <w:top w:val="single" w:color="B4C6E7" w:sz="0" w:space="0"/>
              <w:left w:val="single" w:color="B4C6E7" w:sz="0" w:space="0"/>
              <w:bottom w:val="single" w:color="B4C6E7" w:sz="0" w:space="0"/>
              <w:right w:val="single" w:color="B4C6E7" w:sz="0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0E70521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加热搅拌均匀后使用</w:t>
            </w:r>
          </w:p>
        </w:tc>
      </w:tr>
    </w:tbl>
    <w:p w14:paraId="002418E0">
      <w:pPr>
        <w:pStyle w:val="2"/>
        <w:spacing w:before="360" w:after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十四、注意事项与禁忌</w:t>
      </w:r>
    </w:p>
    <w:p w14:paraId="61D71F86">
      <w:pPr>
        <w:spacing w:after="80" w:line="340" w:lineRule="auto"/>
        <w:ind w:left="360" w:hanging="36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 xml:space="preserve">⚠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严禁用柴油、轻油、机油、煤焦油等替代四合一再生剂</w:t>
      </w:r>
    </w:p>
    <w:p w14:paraId="2164A0FC">
      <w:pPr>
        <w:spacing w:after="80" w:line="340" w:lineRule="auto"/>
        <w:ind w:left="360" w:hanging="36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 xml:space="preserve">⚠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严禁不分老化程度统一掺量，必须试验确定</w:t>
      </w:r>
    </w:p>
    <w:p w14:paraId="216E5EE9">
      <w:pPr>
        <w:spacing w:after="80" w:line="340" w:lineRule="auto"/>
        <w:ind w:left="360" w:hanging="36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 xml:space="preserve">⚠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严禁 RAP 火焰直接接触加热</w:t>
      </w:r>
    </w:p>
    <w:p w14:paraId="763E86BF">
      <w:pPr>
        <w:spacing w:after="80" w:line="340" w:lineRule="auto"/>
        <w:ind w:left="360" w:hanging="36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 xml:space="preserve">⚠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严禁再生剂后喷与新沥青同时加入（渗透不均）</w:t>
      </w:r>
    </w:p>
    <w:p w14:paraId="1B49E7CE">
      <w:pPr>
        <w:spacing w:after="80" w:line="340" w:lineRule="auto"/>
        <w:ind w:left="360" w:hanging="36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 xml:space="preserve">⚠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严禁超温施工（出料 &gt;195℃ 必须废弃）</w:t>
      </w:r>
    </w:p>
    <w:p w14:paraId="38D2D4FA">
      <w:pPr>
        <w:spacing w:after="80" w:line="340" w:lineRule="auto"/>
        <w:ind w:left="360" w:hanging="36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 xml:space="preserve">⚠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严禁在通风不良环境下进行加热操作</w:t>
      </w:r>
    </w:p>
    <w:p w14:paraId="198966C5">
      <w:pPr>
        <w:spacing w:after="80" w:line="340" w:lineRule="auto"/>
        <w:ind w:left="360" w:hanging="36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 xml:space="preserve">⚠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掺量在满足指标前提下宜少用，过多会导致高温车辙</w:t>
      </w:r>
    </w:p>
    <w:p w14:paraId="5B005554">
      <w:pPr>
        <w:spacing w:after="80" w:line="340" w:lineRule="auto"/>
        <w:ind w:left="360" w:hanging="36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 xml:space="preserve">⚠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不同厂家/型号的四合一产品不得混用</w:t>
      </w:r>
    </w:p>
    <w:p w14:paraId="29C9B6D2">
      <w:pPr>
        <w:spacing w:after="80" w:line="340" w:lineRule="auto"/>
        <w:ind w:left="360" w:hanging="36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 xml:space="preserve">⚠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生物基型冬季直投时须预热至 15℃ 以上，防止结晶</w:t>
      </w:r>
    </w:p>
    <w:p w14:paraId="35938FEE">
      <w:pPr>
        <w:pStyle w:val="2"/>
        <w:spacing w:before="360" w:after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十五、附录：掺量计算示例</w:t>
      </w:r>
    </w:p>
    <w:p w14:paraId="5A403A31">
      <w:pPr>
        <w:pStyle w:val="4"/>
        <w:spacing w:before="200" w:after="12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示例条件</w:t>
      </w:r>
    </w:p>
    <w:p w14:paraId="7B75DFFC">
      <w:pPr>
        <w:pStyle w:val="18"/>
        <w:numPr>
          <w:ilvl w:val="0"/>
          <w:numId w:val="15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RAP 掺量：60%（高掺量工况）</w:t>
      </w:r>
    </w:p>
    <w:p w14:paraId="2DF7FA1F">
      <w:pPr>
        <w:pStyle w:val="18"/>
        <w:numPr>
          <w:ilvl w:val="0"/>
          <w:numId w:val="15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RAP 中旧沥青含量：5.0%</w:t>
      </w:r>
    </w:p>
    <w:p w14:paraId="5A0D6FF5">
      <w:pPr>
        <w:pStyle w:val="18"/>
        <w:numPr>
          <w:ilvl w:val="0"/>
          <w:numId w:val="15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旧沥青 25℃针入度：28（0.1mm）— 重度老化</w:t>
      </w:r>
    </w:p>
    <w:p w14:paraId="62DA621D">
      <w:pPr>
        <w:pStyle w:val="18"/>
        <w:numPr>
          <w:ilvl w:val="0"/>
          <w:numId w:val="15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目标再生沥青针入度：70（0.1mm，70# 沥青）</w:t>
      </w:r>
    </w:p>
    <w:p w14:paraId="0EBF9591">
      <w:pPr>
        <w:pStyle w:val="18"/>
        <w:numPr>
          <w:ilvl w:val="0"/>
          <w:numId w:val="15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使用 A 型四合一再生剂</w:t>
      </w:r>
    </w:p>
    <w:p w14:paraId="5E4B6E92">
      <w:pPr>
        <w:pStyle w:val="4"/>
        <w:spacing w:before="200" w:after="12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计算过程</w:t>
      </w:r>
    </w:p>
    <w:p w14:paraId="1A40910B">
      <w:pPr>
        <w:spacing w:after="120" w:line="360" w:lineRule="auto"/>
        <w:ind w:firstLine="48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按 RAP 掺量 60% 查表 5.2，取四合一再生剂掺量 0.9‰：</w:t>
      </w:r>
    </w:p>
    <w:p w14:paraId="7148A3FE">
      <w:pPr>
        <w:shd w:val="clear" w:fill="DEEAF6"/>
        <w:spacing w:before="100" w:after="100"/>
        <w:ind w:left="600" w:right="600"/>
        <w:jc w:val="center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四合一再生剂用量 = 1000 kg × 0.9‰ = 0.9 kg/吨混合料</w:t>
      </w:r>
    </w:p>
    <w:p w14:paraId="76F3A225">
      <w:pPr>
        <w:spacing w:after="120" w:line="360" w:lineRule="auto"/>
        <w:ind w:firstLine="48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即每吨再生混合料仅需添加约 0.9 kg 四合一再生剂（活性高、用量省）。</w:t>
      </w:r>
    </w:p>
    <w:p w14:paraId="1897B892">
      <w:pPr>
        <w:spacing w:after="60"/>
        <w:rPr>
          <w:rFonts w:hint="eastAsia" w:ascii="宋体" w:hAnsi="宋体" w:eastAsia="宋体" w:cs="宋体"/>
          <w:color w:val="auto"/>
        </w:rPr>
      </w:pPr>
    </w:p>
    <w:p w14:paraId="640C89D5">
      <w:pPr>
        <w:pStyle w:val="4"/>
        <w:spacing w:before="200" w:after="12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对比：普通再生剂方案</w:t>
      </w:r>
    </w:p>
    <w:p w14:paraId="7371A431">
      <w:pPr>
        <w:spacing w:after="120" w:line="360" w:lineRule="auto"/>
        <w:ind w:firstLine="48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若采用普通再生剂（按旧沥青质量 9% 计算）：</w:t>
      </w:r>
    </w:p>
    <w:p w14:paraId="369DDF33">
      <w:pPr>
        <w:shd w:val="clear" w:fill="DEEAF6"/>
        <w:spacing w:before="100" w:after="100"/>
        <w:ind w:left="600" w:right="600"/>
        <w:jc w:val="center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普通再生剂 = 1000 kg × 60% × 5.0% × 9% = 2.7 kg/吨混合料</w:t>
      </w:r>
    </w:p>
    <w:p w14:paraId="6ABE1FEF">
      <w:pPr>
        <w:spacing w:after="120" w:line="360" w:lineRule="auto"/>
        <w:ind w:firstLine="48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四合一方案用量 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0.9 kg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vs 普通再生剂 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2.7 kg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，节省 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67%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用量，同时额外获得温拌、改性、净味三项功能，综合成本更低。</w:t>
      </w:r>
    </w:p>
    <w:p w14:paraId="08971874">
      <w:pPr>
        <w:spacing w:after="60"/>
        <w:rPr>
          <w:rFonts w:hint="eastAsia" w:ascii="宋体" w:hAnsi="宋体" w:eastAsia="宋体" w:cs="宋体"/>
          <w:color w:val="auto"/>
        </w:rPr>
      </w:pPr>
    </w:p>
    <w:p w14:paraId="679D3015">
      <w:pPr>
        <w:pStyle w:val="4"/>
        <w:spacing w:before="200" w:after="12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再生效果验证</w:t>
      </w:r>
    </w:p>
    <w:p w14:paraId="21C8CD1A">
      <w:pPr>
        <w:spacing w:after="120" w:line="360" w:lineRule="auto"/>
        <w:ind w:firstLine="48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室内试拌验证（按 JTG/T 5521-2019）：</w:t>
      </w:r>
    </w:p>
    <w:p w14:paraId="57919D88">
      <w:pPr>
        <w:pStyle w:val="18"/>
        <w:numPr>
          <w:ilvl w:val="0"/>
          <w:numId w:val="16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再生沥青 25℃针入度：目标 70±15% → 实测 65~75（合格）</w:t>
      </w:r>
    </w:p>
    <w:p w14:paraId="1A2952C4">
      <w:pPr>
        <w:pStyle w:val="18"/>
        <w:numPr>
          <w:ilvl w:val="0"/>
          <w:numId w:val="16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软化点：较老化沥青降低 ≥10℃（合格）</w:t>
      </w:r>
    </w:p>
    <w:p w14:paraId="74CD8709">
      <w:pPr>
        <w:pStyle w:val="18"/>
        <w:numPr>
          <w:ilvl w:val="0"/>
          <w:numId w:val="16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15℃延度：≥50 cm（合格）</w:t>
      </w:r>
    </w:p>
    <w:p w14:paraId="408978FF">
      <w:pPr>
        <w:pStyle w:val="18"/>
        <w:numPr>
          <w:ilvl w:val="0"/>
          <w:numId w:val="16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马歇尔稳定度：≥8.0 kN（合格）</w:t>
      </w:r>
    </w:p>
    <w:p w14:paraId="26C68D52">
      <w:pPr>
        <w:pStyle w:val="18"/>
        <w:numPr>
          <w:ilvl w:val="0"/>
          <w:numId w:val="16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冻融劈裂 TSR：≥80%（合格）</w:t>
      </w:r>
    </w:p>
    <w:p w14:paraId="4A32EB03">
      <w:pPr>
        <w:pStyle w:val="18"/>
        <w:numPr>
          <w:ilvl w:val="0"/>
          <w:numId w:val="16"/>
        </w:numPr>
        <w:spacing w:after="80" w:line="34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动稳定度：≥3500 次/mm（改性功能体现）</w:t>
      </w:r>
    </w:p>
    <w:p w14:paraId="679FE6F9">
      <w:pPr>
        <w:spacing w:after="60"/>
        <w:rPr>
          <w:rFonts w:hint="eastAsia" w:ascii="宋体" w:hAnsi="宋体" w:eastAsia="宋体" w:cs="宋体"/>
          <w:color w:val="auto"/>
        </w:rPr>
      </w:pPr>
    </w:p>
    <w:p w14:paraId="5E5D27E9">
      <w:pPr>
        <w:spacing w:after="60"/>
        <w:rPr>
          <w:rFonts w:hint="eastAsia" w:ascii="宋体" w:hAnsi="宋体" w:eastAsia="宋体" w:cs="宋体"/>
          <w:color w:val="auto"/>
        </w:rPr>
      </w:pPr>
    </w:p>
    <w:p w14:paraId="443C1801">
      <w:pPr>
        <w:jc w:val="center"/>
        <w:rPr>
          <w:rFonts w:hint="eastAsia" w:ascii="宋体" w:hAnsi="宋体" w:eastAsia="宋体" w:cs="宋体"/>
          <w:color w:val="auto"/>
        </w:rPr>
      </w:pPr>
    </w:p>
    <w:sectPr>
      <w:headerReference r:id="rId6" w:type="default"/>
      <w:footerReference r:id="rId7" w:type="default"/>
      <w:pgSz w:w="11906" w:h="16838"/>
      <w:pgMar w:top="1440" w:right="1440" w:bottom="1440" w:left="1440" w:header="708" w:footer="708" w:gutter="0"/>
      <w:pgNumType w:fmt="decimal" w:start="1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enQuanYi Micro Hei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D2094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C188B3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540271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540271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E003F2">
    <w:pPr>
      <w:jc w:val="both"/>
    </w:pPr>
    <w:r>
      <w:rPr>
        <w:rFonts w:hint="eastAsia"/>
      </w:rPr>
      <w:drawing>
        <wp:inline distT="0" distB="0" distL="114300" distR="114300">
          <wp:extent cx="581660" cy="372745"/>
          <wp:effectExtent l="0" t="0" r="8890" b="8255"/>
          <wp:docPr id="5" name="图片 5" descr="信拓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信拓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660" cy="372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    常州信拓路面改性材料有限公司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3B7ACD">
    <w:pPr>
      <w:jc w:val="both"/>
    </w:pPr>
    <w:r>
      <w:rPr>
        <w:rFonts w:hint="eastAsia"/>
      </w:rPr>
      <w:drawing>
        <wp:inline distT="0" distB="0" distL="114300" distR="114300">
          <wp:extent cx="581660" cy="372745"/>
          <wp:effectExtent l="0" t="0" r="8890" b="8255"/>
          <wp:docPr id="3" name="图片 3" descr="信拓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信拓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660" cy="372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    常州信拓路面改性材料有限公司</w:t>
    </w:r>
  </w:p>
  <w:p w14:paraId="7B27F544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B273C2">
    <w:pPr>
      <w:jc w:val="both"/>
    </w:pPr>
    <w:r>
      <w:rPr>
        <w:rFonts w:hint="eastAsia"/>
      </w:rPr>
      <w:drawing>
        <wp:inline distT="0" distB="0" distL="114300" distR="114300">
          <wp:extent cx="581660" cy="372745"/>
          <wp:effectExtent l="0" t="0" r="8890" b="8255"/>
          <wp:docPr id="1" name="图片 1" descr="信拓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信拓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660" cy="372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    常州信拓路面改性材料有限公司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61FADE"/>
    <w:multiLevelType w:val="singleLevel"/>
    <w:tmpl w:val="8461FADE"/>
    <w:lvl w:ilvl="0" w:tentative="0">
      <w:start w:val="1"/>
      <w:numFmt w:val="bullet"/>
      <w:lvlText w:val="●"/>
      <w:lvlJc w:val="left"/>
      <w:pPr>
        <w:ind w:left="720" w:hanging="360"/>
      </w:pPr>
    </w:lvl>
  </w:abstractNum>
  <w:abstractNum w:abstractNumId="1">
    <w:nsid w:val="9288B902"/>
    <w:multiLevelType w:val="singleLevel"/>
    <w:tmpl w:val="9288B902"/>
    <w:lvl w:ilvl="0" w:tentative="0">
      <w:start w:val="1"/>
      <w:numFmt w:val="bullet"/>
      <w:lvlText w:val="●"/>
      <w:lvlJc w:val="left"/>
      <w:pPr>
        <w:ind w:left="720" w:hanging="360"/>
      </w:pPr>
    </w:lvl>
  </w:abstractNum>
  <w:abstractNum w:abstractNumId="2">
    <w:nsid w:val="9C8AC8EF"/>
    <w:multiLevelType w:val="singleLevel"/>
    <w:tmpl w:val="9C8AC8EF"/>
    <w:lvl w:ilvl="0" w:tentative="0">
      <w:start w:val="1"/>
      <w:numFmt w:val="decimal"/>
      <w:lvlText w:val="%1."/>
      <w:lvlJc w:val="left"/>
      <w:pPr>
        <w:ind w:left="720" w:hanging="360"/>
      </w:pPr>
    </w:lvl>
  </w:abstractNum>
  <w:abstractNum w:abstractNumId="3">
    <w:nsid w:val="B5E306ED"/>
    <w:multiLevelType w:val="singleLevel"/>
    <w:tmpl w:val="B5E306ED"/>
    <w:lvl w:ilvl="0" w:tentative="0">
      <w:start w:val="1"/>
      <w:numFmt w:val="bullet"/>
      <w:lvlText w:val="●"/>
      <w:lvlJc w:val="left"/>
      <w:pPr>
        <w:ind w:left="720" w:hanging="360"/>
      </w:pPr>
    </w:lvl>
  </w:abstractNum>
  <w:abstractNum w:abstractNumId="4">
    <w:nsid w:val="BE923771"/>
    <w:multiLevelType w:val="singleLevel"/>
    <w:tmpl w:val="BE923771"/>
    <w:lvl w:ilvl="0" w:tentative="0">
      <w:start w:val="1"/>
      <w:numFmt w:val="bullet"/>
      <w:lvlText w:val="●"/>
      <w:lvlJc w:val="left"/>
      <w:pPr>
        <w:ind w:left="720" w:hanging="360"/>
      </w:pPr>
    </w:lvl>
  </w:abstractNum>
  <w:abstractNum w:abstractNumId="5">
    <w:nsid w:val="C8879AEF"/>
    <w:multiLevelType w:val="singleLevel"/>
    <w:tmpl w:val="C8879AEF"/>
    <w:lvl w:ilvl="0" w:tentative="0">
      <w:start w:val="1"/>
      <w:numFmt w:val="bullet"/>
      <w:lvlText w:val="●"/>
      <w:lvlJc w:val="left"/>
      <w:pPr>
        <w:ind w:left="720" w:hanging="360"/>
      </w:pPr>
    </w:lvl>
  </w:abstractNum>
  <w:abstractNum w:abstractNumId="6">
    <w:nsid w:val="DCBA6B53"/>
    <w:multiLevelType w:val="singleLevel"/>
    <w:tmpl w:val="DCBA6B53"/>
    <w:lvl w:ilvl="0" w:tentative="0">
      <w:start w:val="1"/>
      <w:numFmt w:val="bullet"/>
      <w:lvlText w:val="●"/>
      <w:lvlJc w:val="left"/>
      <w:pPr>
        <w:ind w:left="720" w:hanging="360"/>
      </w:pPr>
    </w:lvl>
  </w:abstractNum>
  <w:abstractNum w:abstractNumId="7">
    <w:nsid w:val="F4B5D9F5"/>
    <w:multiLevelType w:val="singleLevel"/>
    <w:tmpl w:val="F4B5D9F5"/>
    <w:lvl w:ilvl="0" w:tentative="0">
      <w:start w:val="1"/>
      <w:numFmt w:val="bullet"/>
      <w:lvlText w:val="●"/>
      <w:lvlJc w:val="left"/>
      <w:pPr>
        <w:ind w:left="720" w:hanging="360"/>
      </w:pPr>
    </w:lvl>
  </w:abstractNum>
  <w:abstractNum w:abstractNumId="8">
    <w:nsid w:val="0053208E"/>
    <w:multiLevelType w:val="singleLevel"/>
    <w:tmpl w:val="0053208E"/>
    <w:lvl w:ilvl="0" w:tentative="0">
      <w:start w:val="1"/>
      <w:numFmt w:val="bullet"/>
      <w:lvlText w:val="●"/>
      <w:lvlJc w:val="left"/>
      <w:pPr>
        <w:ind w:left="720" w:hanging="360"/>
      </w:pPr>
    </w:lvl>
  </w:abstractNum>
  <w:abstractNum w:abstractNumId="9">
    <w:nsid w:val="0248C179"/>
    <w:multiLevelType w:val="singleLevel"/>
    <w:tmpl w:val="0248C179"/>
    <w:lvl w:ilvl="0" w:tentative="0">
      <w:start w:val="1"/>
      <w:numFmt w:val="decimal"/>
      <w:lvlText w:val="%1."/>
      <w:lvlJc w:val="left"/>
      <w:pPr>
        <w:ind w:left="720" w:hanging="360"/>
      </w:pPr>
    </w:lvl>
  </w:abstractNum>
  <w:abstractNum w:abstractNumId="10">
    <w:nsid w:val="25B654F3"/>
    <w:multiLevelType w:val="singleLevel"/>
    <w:tmpl w:val="25B654F3"/>
    <w:lvl w:ilvl="0" w:tentative="0">
      <w:start w:val="1"/>
      <w:numFmt w:val="bullet"/>
      <w:lvlText w:val="●"/>
      <w:lvlJc w:val="left"/>
      <w:pPr>
        <w:ind w:left="720" w:hanging="360"/>
      </w:pPr>
    </w:lvl>
  </w:abstractNum>
  <w:abstractNum w:abstractNumId="11">
    <w:nsid w:val="2A8F537B"/>
    <w:multiLevelType w:val="singleLevel"/>
    <w:tmpl w:val="2A8F537B"/>
    <w:lvl w:ilvl="0" w:tentative="0">
      <w:start w:val="1"/>
      <w:numFmt w:val="decimal"/>
      <w:lvlText w:val="%1."/>
      <w:lvlJc w:val="left"/>
      <w:pPr>
        <w:ind w:left="720" w:hanging="360"/>
      </w:pPr>
    </w:lvl>
  </w:abstractNum>
  <w:abstractNum w:abstractNumId="12">
    <w:nsid w:val="46A08BB8"/>
    <w:multiLevelType w:val="singleLevel"/>
    <w:tmpl w:val="46A08BB8"/>
    <w:lvl w:ilvl="0" w:tentative="0">
      <w:start w:val="1"/>
      <w:numFmt w:val="bullet"/>
      <w:lvlText w:val="●"/>
      <w:lvlJc w:val="left"/>
      <w:pPr>
        <w:ind w:left="720" w:hanging="360"/>
      </w:pPr>
    </w:lvl>
  </w:abstractNum>
  <w:abstractNum w:abstractNumId="13">
    <w:nsid w:val="59ADCABA"/>
    <w:multiLevelType w:val="singleLevel"/>
    <w:tmpl w:val="59ADCABA"/>
    <w:lvl w:ilvl="0" w:tentative="0">
      <w:start w:val="1"/>
      <w:numFmt w:val="bullet"/>
      <w:lvlText w:val="●"/>
      <w:lvlJc w:val="left"/>
      <w:pPr>
        <w:ind w:left="720" w:hanging="360"/>
      </w:pPr>
    </w:lvl>
  </w:abstractNum>
  <w:abstractNum w:abstractNumId="14">
    <w:nsid w:val="60382F6E"/>
    <w:multiLevelType w:val="singleLevel"/>
    <w:tmpl w:val="60382F6E"/>
    <w:lvl w:ilvl="0" w:tentative="0">
      <w:start w:val="1"/>
      <w:numFmt w:val="bullet"/>
      <w:lvlText w:val="●"/>
      <w:lvlJc w:val="left"/>
      <w:pPr>
        <w:ind w:left="720" w:hanging="360"/>
      </w:pPr>
    </w:lvl>
  </w:abstractNum>
  <w:abstractNum w:abstractNumId="15">
    <w:nsid w:val="7C246926"/>
    <w:multiLevelType w:val="singleLevel"/>
    <w:tmpl w:val="7C246926"/>
    <w:lvl w:ilvl="0" w:tentative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8"/>
    <w:lvlOverride w:ilvl="0">
      <w:startOverride w:val="1"/>
    </w:lvlOverride>
  </w:num>
  <w:num w:numId="2">
    <w:abstractNumId w:val="13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10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11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7"/>
    <w:lvlOverride w:ilvl="0">
      <w:startOverride w:val="1"/>
    </w:lvlOverride>
  </w:num>
  <w:num w:numId="9">
    <w:abstractNumId w:val="6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14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15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1"/>
    <w:lvlOverride w:ilvl="0">
      <w:startOverride w:val="1"/>
    </w:lvlOverride>
  </w:num>
  <w:num w:numId="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62D974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WenQuanYi Micro Hei" w:hAnsi="WenQuanYi Micro Hei" w:eastAsia="WenQuanYi Micro Hei" w:cs="WenQuanYi Micro He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WenQuanYi Micro Hei" w:hAnsi="WenQuanYi Micro Hei" w:eastAsia="WenQuanYi Micro Hei" w:cs="WenQuanYi Micro Hei"/>
      <w:sz w:val="21"/>
      <w:szCs w:val="21"/>
    </w:rPr>
  </w:style>
  <w:style w:type="paragraph" w:styleId="2">
    <w:name w:val="heading 1"/>
    <w:next w:val="1"/>
    <w:qFormat/>
    <w:uiPriority w:val="0"/>
    <w:pPr>
      <w:spacing w:before="360" w:after="200"/>
      <w:outlineLvl w:val="0"/>
    </w:pPr>
    <w:rPr>
      <w:rFonts w:ascii="WenQuanYi Micro Hei" w:hAnsi="WenQuanYi Micro Hei" w:eastAsia="WenQuanYi Micro Hei" w:cs="WenQuanYi Micro Hei"/>
      <w:b/>
      <w:bCs/>
      <w:color w:val="1F4E79"/>
      <w:sz w:val="32"/>
      <w:szCs w:val="32"/>
    </w:rPr>
  </w:style>
  <w:style w:type="paragraph" w:styleId="3">
    <w:name w:val="heading 2"/>
    <w:next w:val="1"/>
    <w:qFormat/>
    <w:uiPriority w:val="0"/>
    <w:pPr>
      <w:spacing w:before="280" w:after="160"/>
      <w:outlineLvl w:val="1"/>
    </w:pPr>
    <w:rPr>
      <w:rFonts w:ascii="WenQuanYi Micro Hei" w:hAnsi="WenQuanYi Micro Hei" w:eastAsia="WenQuanYi Micro Hei" w:cs="WenQuanYi Micro Hei"/>
      <w:b/>
      <w:bCs/>
      <w:color w:val="2E75B6"/>
      <w:sz w:val="26"/>
      <w:szCs w:val="26"/>
    </w:rPr>
  </w:style>
  <w:style w:type="paragraph" w:styleId="4">
    <w:name w:val="heading 3"/>
    <w:next w:val="1"/>
    <w:qFormat/>
    <w:uiPriority w:val="0"/>
    <w:pPr>
      <w:spacing w:before="200" w:after="120"/>
      <w:outlineLvl w:val="2"/>
    </w:pPr>
    <w:rPr>
      <w:rFonts w:ascii="WenQuanYi Micro Hei" w:hAnsi="WenQuanYi Micro Hei" w:eastAsia="WenQuanYi Micro Hei" w:cs="WenQuanYi Micro Hei"/>
      <w:b/>
      <w:bCs/>
      <w:color w:val="1F4E79"/>
      <w:sz w:val="24"/>
      <w:szCs w:val="24"/>
    </w:rPr>
  </w:style>
  <w:style w:type="paragraph" w:styleId="5">
    <w:name w:val="heading 4"/>
    <w:next w:val="1"/>
    <w:qFormat/>
    <w:uiPriority w:val="0"/>
    <w:rPr>
      <w:rFonts w:ascii="WenQuanYi Micro Hei" w:hAnsi="WenQuanYi Micro Hei" w:eastAsia="WenQuanYi Micro Hei" w:cs="WenQuanYi Micro Hei"/>
      <w:i/>
      <w:iCs/>
      <w:color w:val="2E74B5"/>
      <w:sz w:val="21"/>
      <w:szCs w:val="21"/>
    </w:rPr>
  </w:style>
  <w:style w:type="paragraph" w:styleId="6">
    <w:name w:val="heading 5"/>
    <w:next w:val="1"/>
    <w:qFormat/>
    <w:uiPriority w:val="0"/>
    <w:rPr>
      <w:rFonts w:ascii="WenQuanYi Micro Hei" w:hAnsi="WenQuanYi Micro Hei" w:eastAsia="WenQuanYi Micro Hei" w:cs="WenQuanYi Micro Hei"/>
      <w:color w:val="2E74B5"/>
      <w:sz w:val="21"/>
      <w:szCs w:val="21"/>
    </w:rPr>
  </w:style>
  <w:style w:type="paragraph" w:styleId="7">
    <w:name w:val="heading 6"/>
    <w:next w:val="1"/>
    <w:qFormat/>
    <w:uiPriority w:val="0"/>
    <w:rPr>
      <w:rFonts w:ascii="WenQuanYi Micro Hei" w:hAnsi="WenQuanYi Micro Hei" w:eastAsia="WenQuanYi Micro Hei" w:cs="WenQuanYi Micro Hei"/>
      <w:color w:val="1F4D78"/>
      <w:sz w:val="21"/>
      <w:szCs w:val="21"/>
    </w:rPr>
  </w:style>
  <w:style w:type="character" w:default="1" w:styleId="14">
    <w:name w:val="Default Paragraph Font"/>
    <w:semiHidden/>
    <w:uiPriority w:val="0"/>
  </w:style>
  <w:style w:type="table" w:default="1" w:styleId="1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20"/>
    <w:semiHidden/>
    <w:unhideWhenUsed/>
    <w:qFormat/>
    <w:uiPriority w:val="99"/>
    <w:pPr>
      <w:spacing w:after="0" w:line="240" w:lineRule="auto"/>
    </w:pPr>
    <w:rPr>
      <w:rFonts w:ascii="WenQuanYi Micro Hei" w:hAnsi="WenQuanYi Micro Hei" w:eastAsia="WenQuanYi Micro Hei" w:cs="WenQuanYi Micro Hei"/>
      <w:sz w:val="20"/>
      <w:szCs w:val="20"/>
    </w:rPr>
  </w:style>
  <w:style w:type="paragraph" w:styleId="9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footnote text"/>
    <w:link w:val="19"/>
    <w:semiHidden/>
    <w:unhideWhenUsed/>
    <w:qFormat/>
    <w:uiPriority w:val="99"/>
    <w:pPr>
      <w:spacing w:after="0" w:line="240" w:lineRule="auto"/>
    </w:pPr>
    <w:rPr>
      <w:rFonts w:ascii="WenQuanYi Micro Hei" w:hAnsi="WenQuanYi Micro Hei" w:eastAsia="WenQuanYi Micro Hei" w:cs="WenQuanYi Micro Hei"/>
      <w:sz w:val="20"/>
      <w:szCs w:val="20"/>
    </w:rPr>
  </w:style>
  <w:style w:type="paragraph" w:styleId="12">
    <w:name w:val="Title"/>
    <w:qFormat/>
    <w:uiPriority w:val="0"/>
    <w:rPr>
      <w:rFonts w:ascii="WenQuanYi Micro Hei" w:hAnsi="WenQuanYi Micro Hei" w:eastAsia="WenQuanYi Micro Hei" w:cs="WenQuanYi Micro Hei"/>
      <w:sz w:val="56"/>
      <w:szCs w:val="56"/>
    </w:rPr>
  </w:style>
  <w:style w:type="character" w:styleId="15">
    <w:name w:val="endnote reference"/>
    <w:semiHidden/>
    <w:unhideWhenUsed/>
    <w:qFormat/>
    <w:uiPriority w:val="99"/>
    <w:rPr>
      <w:vertAlign w:val="superscript"/>
    </w:rPr>
  </w:style>
  <w:style w:type="character" w:styleId="16">
    <w:name w:val="Hyperlink"/>
    <w:unhideWhenUsed/>
    <w:qFormat/>
    <w:uiPriority w:val="99"/>
    <w:rPr>
      <w:color w:val="0563C1"/>
      <w:u w:val="single"/>
    </w:rPr>
  </w:style>
  <w:style w:type="character" w:styleId="17">
    <w:name w:val="footnote reference"/>
    <w:semiHidden/>
    <w:unhideWhenUsed/>
    <w:qFormat/>
    <w:uiPriority w:val="99"/>
    <w:rPr>
      <w:vertAlign w:val="superscript"/>
    </w:rPr>
  </w:style>
  <w:style w:type="paragraph" w:styleId="18">
    <w:name w:val="List Paragraph"/>
    <w:qFormat/>
    <w:uiPriority w:val="0"/>
    <w:rPr>
      <w:rFonts w:ascii="WenQuanYi Micro Hei" w:hAnsi="WenQuanYi Micro Hei" w:eastAsia="WenQuanYi Micro Hei" w:cs="WenQuanYi Micro Hei"/>
      <w:sz w:val="21"/>
      <w:szCs w:val="21"/>
    </w:rPr>
  </w:style>
  <w:style w:type="character" w:customStyle="1" w:styleId="19">
    <w:name w:val="Footnote Text Char"/>
    <w:link w:val="11"/>
    <w:semiHidden/>
    <w:unhideWhenUsed/>
    <w:qFormat/>
    <w:uiPriority w:val="99"/>
    <w:rPr>
      <w:sz w:val="20"/>
      <w:szCs w:val="20"/>
    </w:rPr>
  </w:style>
  <w:style w:type="character" w:customStyle="1" w:styleId="20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13</Pages>
  <Words>1327</Words>
  <Characters>1619</Characters>
  <TotalTime>3</TotalTime>
  <ScaleCrop>false</ScaleCrop>
  <LinksUpToDate>false</LinksUpToDate>
  <CharactersWithSpaces>1748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2026-07-27T15:10:00Z</dcterms:created>
  <dc:creator>Un-named</dc:creator>
  <cp:lastModifiedBy>十八</cp:lastModifiedBy>
  <dcterms:modified xsi:type="dcterms:W3CDTF">2026-07-29T01:32:45Z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{"Label":"1","ContentProducer":"001191440300708461136T1WFUO","ProduceID":"e3b2fd36c71ef69c6468953c35b997eb-KrWp","ReservedCode1":"{\"Type\":\" TC260PG\",\"Version\":1,\"Bindings\":[{\"Type\":\"soft\",\"AlgID\":\"sm3\",\"Value\":\"9369d815df640478a19a66643a668215209b51f7acb854237e8fbfe6b74b5aed\"},{\"Type\":\"hash\",\"AlgID\":\"sm3\",\"Value\":\"6bd7619f120e1467dc78b53096c696ecce2b46ab0656888b43708944ec70863f\"}],\"PubSD\":[{\"Type\":\"DS\",\"AlgID\":\"sm2\",\"TBSData\":{\"Type\":\"Binding\",\"BType\":\"hash\"},\"Signature\":\"3045022100a8fec83095314aa217f2a387c94fbfefb789d1f8a125b00dee3b188266cf2c0c022067e4187609ecef1c1d198bd4b2c4a639d569d92f2046d11ca383322c77377be7\"},{\"Type\":\"PubKey\",\"AlgID\":\"sm2\",\"KeyValue\":\"0407f79b28a17a752b3aae4305c98b48978213832729a2571850b1310b2bc9fe8fee039ccf25ebfeac27502414d9fcef792d777183c98893d226171c2f7a3289a2\"}],\"Extension\":{\"Timestamp\":1785165071,\"KeyVersion\":\"v1-TxLeOmf7bqU223\"}}","ContentPropagator":"001191440300708461136T1WFUO","PropagateID":"e3b2fd36c71ef69c6468953c35b997eb-KrWp","ReservedCode2":"{\"Type\":\" TC260PG\",\"Version\":1,\"Bindings\":[{\"Type\":\"soft\",\"AlgID\":\"sm3\",\"Value\":\"9369d815df640478a19a66643a668215209b51f7acb854237e8fbfe6b74b5aed\"},{\"Type\":\"hash\",\"AlgID\":\"sm3\",\"Value\":\"6bd7619f120e1467dc78b53096c696ecce2b46ab0656888b43708944ec70863f\"}],\"PubSD\":[{\"Type\":\"DS\",\"AlgID\":\"sm2\",\"TBSData\":{\"Type\":\"Binding\",\"BType\":\"hash\"},\"Signature\":\"3045022100f96eada5e23fb2c0bb73ac2b1f73b8123f764142cc6650ed541d90393b895304022074ae146c6b2d4c90ac7cd678cd2094bfc423ebb6f6f7b5a21ea7fcc0b0c55468\"},{\"Type\":\"PubKey\",\"AlgID\":\"sm2\",\"KeyValue\":\"0407f79b28a17a752b3aae4305c98b48978213832729a2571850b1310b2bc9fe8fee039ccf25ebfeac27502414d9fcef792d777183c98893d226171c2f7a3289a2\"}],\"Extension\":{\"Timestamp\":1785165071,\"KeyVersion\":\"v1-TxLeOmf7bqU223\"}}"}</vt:lpwstr>
  </property>
  <property fmtid="{D5CDD505-2E9C-101B-9397-08002B2CF9AE}" pid="3" name="KSOTemplateDocerSaveRecord">
    <vt:lpwstr>eyJoZGlkIjoiMGMyMWM3NzBlMWZmYWJmZTEzOGY0YmIzNzk1MDdhOTUiLCJ1c2VySWQiOiI0MjcyMTIyMjQifQ==</vt:lpwstr>
  </property>
  <property fmtid="{D5CDD505-2E9C-101B-9397-08002B2CF9AE}" pid="4" name="KSOProductBuildVer">
    <vt:lpwstr>2052-12.1.0.26895</vt:lpwstr>
  </property>
  <property fmtid="{D5CDD505-2E9C-101B-9397-08002B2CF9AE}" pid="5" name="ICV">
    <vt:lpwstr>76B966BF44264928B4DAB3F791CC7464_13</vt:lpwstr>
  </property>
</Properties>
</file>